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DBD1" w14:textId="31B324C5" w:rsidR="004C5F6E" w:rsidRPr="0077640D" w:rsidRDefault="00E33AE6" w:rsidP="002D368E">
      <w:pPr>
        <w:spacing w:line="276" w:lineRule="auto"/>
        <w:jc w:val="center"/>
        <w:rPr>
          <w:sz w:val="32"/>
          <w:szCs w:val="32"/>
        </w:rPr>
      </w:pPr>
      <w:bookmarkStart w:id="0" w:name="_Hlk135054328"/>
      <w:r>
        <w:rPr>
          <w:b/>
          <w:sz w:val="28"/>
          <w:szCs w:val="28"/>
        </w:rPr>
        <w:t xml:space="preserve"> </w:t>
      </w:r>
      <w:r w:rsidR="00400DFD" w:rsidRPr="0077640D">
        <w:rPr>
          <w:b/>
          <w:sz w:val="32"/>
          <w:szCs w:val="32"/>
        </w:rPr>
        <w:t>State of</w:t>
      </w:r>
      <w:r w:rsidR="004C5F6E" w:rsidRPr="0077640D">
        <w:rPr>
          <w:b/>
          <w:sz w:val="32"/>
          <w:szCs w:val="32"/>
        </w:rPr>
        <w:t xml:space="preserve"> the Teamster Members Retirement Plan</w:t>
      </w:r>
    </w:p>
    <w:p w14:paraId="65F39B85" w14:textId="7A1752E5" w:rsidR="004C5F6E" w:rsidRPr="00C95AF5" w:rsidRDefault="00E21E20" w:rsidP="002D368E">
      <w:pPr>
        <w:spacing w:line="276" w:lineRule="auto"/>
        <w:rPr>
          <w:b/>
        </w:rPr>
      </w:pPr>
      <w:r w:rsidRPr="00C95AF5">
        <w:rPr>
          <w:b/>
        </w:rPr>
        <w:t>June</w:t>
      </w:r>
      <w:r w:rsidR="004C5F6E" w:rsidRPr="00C95AF5">
        <w:rPr>
          <w:b/>
        </w:rPr>
        <w:t xml:space="preserve"> 2023</w:t>
      </w:r>
    </w:p>
    <w:p w14:paraId="46E55364" w14:textId="3FED08E3" w:rsidR="00D471F3" w:rsidRPr="00C95AF5" w:rsidRDefault="00E21E20" w:rsidP="002D368E">
      <w:pPr>
        <w:spacing w:line="276" w:lineRule="auto"/>
      </w:pPr>
      <w:r w:rsidRPr="00C95AF5">
        <w:t>D</w:t>
      </w:r>
      <w:r w:rsidR="00914FFD" w:rsidRPr="00C95AF5">
        <w:t>espite vigorous efforts to increase active membership</w:t>
      </w:r>
      <w:r w:rsidR="00D471F3" w:rsidRPr="00C95AF5">
        <w:t xml:space="preserve"> and earn the highest investment income possible while keeping assets safe</w:t>
      </w:r>
      <w:r w:rsidR="00914FFD" w:rsidRPr="00C95AF5">
        <w:t xml:space="preserve">, the number of retired </w:t>
      </w:r>
      <w:r w:rsidR="00BE508F" w:rsidRPr="00C95AF5">
        <w:t>member</w:t>
      </w:r>
      <w:r w:rsidR="00914FFD" w:rsidRPr="00C95AF5">
        <w:t xml:space="preserve">s receiving benefits in the Teamster Members Retirement Plan (TMRP or Plan) far surpasses the number of active </w:t>
      </w:r>
      <w:r w:rsidR="00BE508F" w:rsidRPr="00C95AF5">
        <w:t>member</w:t>
      </w:r>
      <w:r w:rsidR="00914FFD" w:rsidRPr="00C95AF5">
        <w:t>s making contributions.  When this imbalance is coupled with an 80% or lower funding level</w:t>
      </w:r>
      <w:r w:rsidR="00D65FDD" w:rsidRPr="00C95AF5">
        <w:t xml:space="preserve"> and the fact that retirees and their spouses are living longer</w:t>
      </w:r>
      <w:r w:rsidR="00914FFD" w:rsidRPr="00C95AF5">
        <w:t>, considerably more money goes out of the Plan annually than comes into the Plan, even when the Plan has a good year of performance with its investments.</w:t>
      </w:r>
    </w:p>
    <w:p w14:paraId="10555E43" w14:textId="55959321" w:rsidR="00B47A2A" w:rsidRPr="00C95AF5" w:rsidRDefault="004C5F6E" w:rsidP="002D368E">
      <w:pPr>
        <w:spacing w:line="276" w:lineRule="auto"/>
      </w:pPr>
      <w:r w:rsidRPr="00C95AF5">
        <w:t xml:space="preserve">The </w:t>
      </w:r>
      <w:r w:rsidR="00300FD2" w:rsidRPr="00C95AF5">
        <w:t>Board of Trustees of the</w:t>
      </w:r>
      <w:r w:rsidRPr="00C95AF5">
        <w:t xml:space="preserve"> Plan</w:t>
      </w:r>
      <w:r w:rsidR="00DC1D4B" w:rsidRPr="00C95AF5">
        <w:t xml:space="preserve"> h</w:t>
      </w:r>
      <w:r w:rsidRPr="00C95AF5">
        <w:t>as been advised by the Plan’s professional</w:t>
      </w:r>
      <w:r w:rsidR="00DC1D4B" w:rsidRPr="00C95AF5">
        <w:t xml:space="preserve"> advisors</w:t>
      </w:r>
      <w:r w:rsidRPr="00C95AF5">
        <w:t xml:space="preserve"> that the TMRP</w:t>
      </w:r>
      <w:r w:rsidR="00D471F3" w:rsidRPr="00C95AF5">
        <w:t xml:space="preserve">’s assets </w:t>
      </w:r>
      <w:r w:rsidR="005D4F09" w:rsidRPr="00C95AF5">
        <w:t xml:space="preserve">are projected to </w:t>
      </w:r>
      <w:r w:rsidR="003C1FB5" w:rsidRPr="00C95AF5">
        <w:t>equal</w:t>
      </w:r>
      <w:r w:rsidR="00D471F3" w:rsidRPr="00C95AF5">
        <w:t xml:space="preserve"> the </w:t>
      </w:r>
      <w:r w:rsidR="003C1FB5" w:rsidRPr="00C95AF5">
        <w:t>total member</w:t>
      </w:r>
      <w:r w:rsidR="00D471F3" w:rsidRPr="00C95AF5">
        <w:t xml:space="preserve"> contributions in the year </w:t>
      </w:r>
      <w:r w:rsidR="00D471F3" w:rsidRPr="0077640D">
        <w:t>20</w:t>
      </w:r>
      <w:r w:rsidR="003F479D" w:rsidRPr="0077640D">
        <w:t>3</w:t>
      </w:r>
      <w:r w:rsidR="001D54F5" w:rsidRPr="0077640D">
        <w:t>0</w:t>
      </w:r>
      <w:r w:rsidR="003C1FB5" w:rsidRPr="00C95AF5">
        <w:t xml:space="preserve">. </w:t>
      </w:r>
      <w:proofErr w:type="gramStart"/>
      <w:r w:rsidR="001D54F5" w:rsidRPr="00C95AF5">
        <w:t>In order to</w:t>
      </w:r>
      <w:proofErr w:type="gramEnd"/>
      <w:r w:rsidR="001D54F5" w:rsidRPr="00C95AF5">
        <w:t xml:space="preserve"> ensure that </w:t>
      </w:r>
      <w:r w:rsidR="00E21E20" w:rsidRPr="00C95AF5">
        <w:t xml:space="preserve">the Plan is able to meet its benefit obligations, </w:t>
      </w:r>
      <w:r w:rsidR="001D54F5" w:rsidRPr="00C95AF5">
        <w:t>t</w:t>
      </w:r>
      <w:r w:rsidR="003C1FB5" w:rsidRPr="00C95AF5">
        <w:t>he Plan will</w:t>
      </w:r>
      <w:r w:rsidRPr="00C95AF5">
        <w:t xml:space="preserve"> have to terminate </w:t>
      </w:r>
      <w:proofErr w:type="gramStart"/>
      <w:r w:rsidRPr="00C95AF5">
        <w:t>on</w:t>
      </w:r>
      <w:proofErr w:type="gramEnd"/>
      <w:r w:rsidR="0090344A" w:rsidRPr="00C95AF5">
        <w:t xml:space="preserve"> or before </w:t>
      </w:r>
      <w:r w:rsidR="00D471F3" w:rsidRPr="00C95AF5">
        <w:t xml:space="preserve">the year </w:t>
      </w:r>
      <w:r w:rsidR="0090344A" w:rsidRPr="0077640D">
        <w:t>203</w:t>
      </w:r>
      <w:r w:rsidR="001D54F5" w:rsidRPr="0077640D">
        <w:t>0</w:t>
      </w:r>
      <w:r w:rsidR="0090344A" w:rsidRPr="00C95AF5">
        <w:t xml:space="preserve"> </w:t>
      </w:r>
      <w:r w:rsidRPr="00C95AF5">
        <w:t xml:space="preserve">unless courageous steps </w:t>
      </w:r>
      <w:r w:rsidR="00D471F3" w:rsidRPr="00C95AF5">
        <w:t xml:space="preserve">to fix the Plan’s funding imbalance </w:t>
      </w:r>
      <w:r w:rsidRPr="00C95AF5">
        <w:t>are taken</w:t>
      </w:r>
      <w:r w:rsidR="009A3F9D" w:rsidRPr="00C95AF5">
        <w:t xml:space="preserve"> </w:t>
      </w:r>
      <w:r w:rsidR="009A3F9D" w:rsidRPr="00C95AF5">
        <w:rPr>
          <w:b/>
          <w:bCs/>
        </w:rPr>
        <w:t>now</w:t>
      </w:r>
      <w:r w:rsidRPr="00C95AF5">
        <w:t xml:space="preserve">.  </w:t>
      </w:r>
      <w:r w:rsidR="00B47A2A" w:rsidRPr="00C95AF5">
        <w:t xml:space="preserve">This </w:t>
      </w:r>
      <w:r w:rsidR="005D4F09" w:rsidRPr="00C95AF5">
        <w:t xml:space="preserve">action </w:t>
      </w:r>
      <w:r w:rsidR="00B47A2A" w:rsidRPr="00C95AF5">
        <w:t>is necessary because unlike the multiemployer pension plans that you may be familiar with, the TMRP, as a</w:t>
      </w:r>
      <w:r w:rsidR="00F6124E" w:rsidRPr="00C95AF5">
        <w:t xml:space="preserve">n </w:t>
      </w:r>
      <w:r w:rsidR="00F6124E" w:rsidRPr="00796509">
        <w:t>IRC</w:t>
      </w:r>
      <w:r w:rsidR="00F6124E" w:rsidRPr="00C95AF5">
        <w:t xml:space="preserve"> Section</w:t>
      </w:r>
      <w:r w:rsidR="00B47A2A" w:rsidRPr="00C95AF5">
        <w:t xml:space="preserve"> 501(c)(18) plan, did not receive </w:t>
      </w:r>
      <w:r w:rsidR="003C1FB5" w:rsidRPr="00C95AF5">
        <w:t>financial assistance</w:t>
      </w:r>
      <w:r w:rsidR="00B47A2A" w:rsidRPr="00C95AF5">
        <w:t xml:space="preserve"> from the federal government and is not insured by the PBGC, despite the Trustees’ efforts to get legislation passed on both of those matters.</w:t>
      </w:r>
    </w:p>
    <w:p w14:paraId="4DA218CE" w14:textId="6BAABE59" w:rsidR="004C5F6E" w:rsidRPr="00C95AF5" w:rsidRDefault="004C5F6E" w:rsidP="002D368E">
      <w:pPr>
        <w:spacing w:line="276" w:lineRule="auto"/>
      </w:pPr>
      <w:r w:rsidRPr="00C95AF5">
        <w:t>In the coming months, you'll receive important information about proposed changes to the Plan to avoid having to terminate and cease all benefit payments.  This update explains our current situation, summarizes the necessary changes, and describes our next steps.</w:t>
      </w:r>
    </w:p>
    <w:p w14:paraId="6F7ACD0E" w14:textId="77777777" w:rsidR="004C5F6E" w:rsidRPr="00C95AF5" w:rsidRDefault="004C5F6E" w:rsidP="0077640D">
      <w:pPr>
        <w:spacing w:line="276" w:lineRule="auto"/>
        <w:jc w:val="center"/>
      </w:pPr>
      <w:bookmarkStart w:id="1" w:name="_Hlk135054356"/>
      <w:bookmarkEnd w:id="0"/>
      <w:r w:rsidRPr="0077640D">
        <w:rPr>
          <w:b/>
          <w:sz w:val="28"/>
          <w:szCs w:val="24"/>
        </w:rPr>
        <w:t>OUR CURRENT SITUATION</w:t>
      </w:r>
    </w:p>
    <w:p w14:paraId="517B2DB7" w14:textId="7269233B" w:rsidR="004C5F6E" w:rsidRPr="00C95AF5" w:rsidRDefault="00B47A2A" w:rsidP="002D368E">
      <w:pPr>
        <w:spacing w:line="276" w:lineRule="auto"/>
      </w:pPr>
      <w:r w:rsidRPr="00C95AF5">
        <w:t xml:space="preserve">Over the past 17 years, </w:t>
      </w:r>
      <w:r w:rsidR="00EC26B3" w:rsidRPr="00C95AF5">
        <w:t xml:space="preserve">the Plan’s </w:t>
      </w:r>
      <w:r w:rsidR="004C5F6E" w:rsidRPr="00C95AF5">
        <w:t>financial situation has decline</w:t>
      </w:r>
      <w:r w:rsidRPr="00C95AF5">
        <w:t>d</w:t>
      </w:r>
      <w:r w:rsidR="004C5F6E" w:rsidRPr="00C95AF5">
        <w:t xml:space="preserve"> requiring us to reduce benefits:</w:t>
      </w:r>
    </w:p>
    <w:p w14:paraId="417CCB69" w14:textId="359E10AD" w:rsidR="004C5F6E" w:rsidRPr="00C95AF5" w:rsidRDefault="004C5F6E" w:rsidP="002D368E">
      <w:pPr>
        <w:numPr>
          <w:ilvl w:val="0"/>
          <w:numId w:val="1"/>
        </w:numPr>
        <w:spacing w:line="276" w:lineRule="auto"/>
      </w:pPr>
      <w:r w:rsidRPr="00C95AF5">
        <w:t>In 2006, in response to the stock market plunge after 9/11.</w:t>
      </w:r>
    </w:p>
    <w:p w14:paraId="36648403" w14:textId="7D3D11B1" w:rsidR="004C5F6E" w:rsidRPr="00C95AF5" w:rsidRDefault="004C5F6E" w:rsidP="002D368E">
      <w:pPr>
        <w:numPr>
          <w:ilvl w:val="0"/>
          <w:numId w:val="1"/>
        </w:numPr>
        <w:spacing w:line="276" w:lineRule="auto"/>
      </w:pPr>
      <w:r w:rsidRPr="00C95AF5">
        <w:t>In 2014, due to the 2007/2008 financial crisis.</w:t>
      </w:r>
    </w:p>
    <w:p w14:paraId="4B14E584" w14:textId="736F397F" w:rsidR="004C5F6E" w:rsidRPr="00C95AF5" w:rsidRDefault="004C5F6E" w:rsidP="002D368E">
      <w:pPr>
        <w:numPr>
          <w:ilvl w:val="0"/>
          <w:numId w:val="1"/>
        </w:numPr>
        <w:spacing w:line="276" w:lineRule="auto"/>
      </w:pPr>
      <w:r w:rsidRPr="00C95AF5">
        <w:t>In 2018, due to decline in membership and continued weak overall investment returns.</w:t>
      </w:r>
    </w:p>
    <w:p w14:paraId="7BB5E0BA" w14:textId="77B2C884" w:rsidR="004C5F6E" w:rsidRPr="00C95AF5" w:rsidRDefault="004C5F6E" w:rsidP="002D368E">
      <w:pPr>
        <w:spacing w:line="276" w:lineRule="auto"/>
      </w:pPr>
      <w:r w:rsidRPr="00C95AF5">
        <w:t xml:space="preserve">Each time, we worked with professional advisors to determine what changes to make to keep the Plan solvent and able to continue paying </w:t>
      </w:r>
      <w:r w:rsidR="00B47A2A" w:rsidRPr="00C95AF5">
        <w:t xml:space="preserve">monthly retiree </w:t>
      </w:r>
      <w:r w:rsidRPr="00C95AF5">
        <w:t>benefits</w:t>
      </w:r>
      <w:r w:rsidR="00B47A2A" w:rsidRPr="00C95AF5">
        <w:t xml:space="preserve"> for life to </w:t>
      </w:r>
      <w:r w:rsidR="00BE508F" w:rsidRPr="00C95AF5">
        <w:t>member</w:t>
      </w:r>
      <w:r w:rsidR="00B47A2A" w:rsidRPr="00C95AF5">
        <w:t>s and their spouses</w:t>
      </w:r>
      <w:r w:rsidRPr="00C95AF5">
        <w:t xml:space="preserve">. </w:t>
      </w:r>
      <w:r w:rsidR="00B47A2A" w:rsidRPr="00C95AF5">
        <w:t>In each instance, t</w:t>
      </w:r>
      <w:r w:rsidRPr="00C95AF5">
        <w:t xml:space="preserve">he Plan changes improved the Plan's financing but the </w:t>
      </w:r>
      <w:r w:rsidR="00DE724C" w:rsidRPr="00C95AF5">
        <w:t xml:space="preserve">financial challenges </w:t>
      </w:r>
      <w:r w:rsidRPr="00C95AF5">
        <w:t>facing the Plan continue.</w:t>
      </w:r>
    </w:p>
    <w:p w14:paraId="0FD4DCED" w14:textId="77777777" w:rsidR="004C5F6E" w:rsidRPr="00C95AF5" w:rsidRDefault="004C5F6E" w:rsidP="002D368E">
      <w:pPr>
        <w:spacing w:line="276" w:lineRule="auto"/>
        <w:rPr>
          <w:b/>
          <w:bCs/>
        </w:rPr>
      </w:pPr>
      <w:r w:rsidRPr="00C95AF5">
        <w:rPr>
          <w:b/>
          <w:bCs/>
        </w:rPr>
        <w:t>Fewer Active Members</w:t>
      </w:r>
    </w:p>
    <w:p w14:paraId="5F518E0F" w14:textId="32F78D37" w:rsidR="004C5F6E" w:rsidRPr="00C95AF5" w:rsidRDefault="004C5F6E" w:rsidP="002D368E">
      <w:pPr>
        <w:spacing w:line="276" w:lineRule="auto"/>
      </w:pPr>
      <w:r w:rsidRPr="00C95AF5">
        <w:t xml:space="preserve">Over the long-term, </w:t>
      </w:r>
      <w:r w:rsidR="00E21E20" w:rsidRPr="00C95AF5">
        <w:t xml:space="preserve">the TMRP has </w:t>
      </w:r>
      <w:r w:rsidRPr="00C95AF5">
        <w:t xml:space="preserve">fewer active </w:t>
      </w:r>
      <w:r w:rsidR="0090344A" w:rsidRPr="00C95AF5">
        <w:t xml:space="preserve">TMRP </w:t>
      </w:r>
      <w:r w:rsidRPr="00C95AF5">
        <w:t>members, which means lower contribution</w:t>
      </w:r>
      <w:r w:rsidR="005379A9" w:rsidRPr="00C95AF5">
        <w:t xml:space="preserve"> income</w:t>
      </w:r>
      <w:r w:rsidRPr="00C95AF5">
        <w:t xml:space="preserve"> to the Plan. </w:t>
      </w:r>
      <w:r w:rsidR="005D4F09" w:rsidRPr="00C95AF5">
        <w:t xml:space="preserve">As shown in the table below, the </w:t>
      </w:r>
      <w:r w:rsidRPr="00C95AF5">
        <w:t xml:space="preserve">Plan now has more than </w:t>
      </w:r>
      <w:r w:rsidRPr="00C95AF5">
        <w:rPr>
          <w:b/>
          <w:bCs/>
        </w:rPr>
        <w:t xml:space="preserve">7 times the number of </w:t>
      </w:r>
      <w:r w:rsidR="002D368E" w:rsidRPr="00C95AF5">
        <w:rPr>
          <w:b/>
          <w:bCs/>
        </w:rPr>
        <w:t>non-contributing</w:t>
      </w:r>
      <w:r w:rsidRPr="00C95AF5">
        <w:rPr>
          <w:b/>
          <w:bCs/>
        </w:rPr>
        <w:t xml:space="preserve"> </w:t>
      </w:r>
      <w:r w:rsidR="000B7E13" w:rsidRPr="00C95AF5">
        <w:rPr>
          <w:b/>
          <w:bCs/>
        </w:rPr>
        <w:t xml:space="preserve">members entitled to current or future benefits </w:t>
      </w:r>
      <w:r w:rsidRPr="00C95AF5">
        <w:rPr>
          <w:b/>
          <w:bCs/>
        </w:rPr>
        <w:t>as it has active contributing members</w:t>
      </w:r>
      <w:r w:rsidRPr="00C95AF5">
        <w:t xml:space="preserve">.  </w:t>
      </w:r>
      <w:r w:rsidR="005D4F09" w:rsidRPr="00C95AF5">
        <w:t xml:space="preserve">Last year, our </w:t>
      </w:r>
      <w:r w:rsidRPr="00C95AF5">
        <w:t>active members pa</w:t>
      </w:r>
      <w:r w:rsidR="005D4F09" w:rsidRPr="00C95AF5">
        <w:t>id</w:t>
      </w:r>
      <w:r w:rsidRPr="00C95AF5">
        <w:t xml:space="preserve"> </w:t>
      </w:r>
      <w:r w:rsidRPr="0077640D">
        <w:t>$</w:t>
      </w:r>
      <w:r w:rsidR="001F2100">
        <w:t>10.5</w:t>
      </w:r>
      <w:r w:rsidRPr="00C95AF5">
        <w:t xml:space="preserve"> </w:t>
      </w:r>
      <w:r w:rsidR="005D4F09" w:rsidRPr="00C95AF5">
        <w:t xml:space="preserve">million </w:t>
      </w:r>
      <w:r w:rsidRPr="00C95AF5">
        <w:t>in contributions</w:t>
      </w:r>
      <w:r w:rsidR="00F85BBF" w:rsidRPr="00C95AF5">
        <w:t xml:space="preserve"> </w:t>
      </w:r>
      <w:r w:rsidR="005D4F09" w:rsidRPr="00C95AF5">
        <w:t xml:space="preserve">into the </w:t>
      </w:r>
      <w:r w:rsidR="005D4F09" w:rsidRPr="00C95AF5">
        <w:lastRenderedPageBreak/>
        <w:t xml:space="preserve">Plan, </w:t>
      </w:r>
      <w:r w:rsidR="00F85BBF" w:rsidRPr="00C95AF5">
        <w:t>b</w:t>
      </w:r>
      <w:r w:rsidRPr="00C95AF5">
        <w:t xml:space="preserve">ut </w:t>
      </w:r>
      <w:r w:rsidRPr="00626C12">
        <w:t xml:space="preserve">the Plan </w:t>
      </w:r>
      <w:r w:rsidR="005D4F09" w:rsidRPr="00626C12">
        <w:t>paid</w:t>
      </w:r>
      <w:r w:rsidRPr="00626C12">
        <w:t xml:space="preserve"> out $</w:t>
      </w:r>
      <w:r w:rsidR="00BE6D9F" w:rsidRPr="00626C12">
        <w:t>88</w:t>
      </w:r>
      <w:r w:rsidR="001F2100" w:rsidRPr="00626C12">
        <w:t>.</w:t>
      </w:r>
      <w:r w:rsidR="00626C12" w:rsidRPr="000C29E2">
        <w:t>1</w:t>
      </w:r>
      <w:r w:rsidR="005D4F09" w:rsidRPr="00626C12">
        <w:t xml:space="preserve"> millio</w:t>
      </w:r>
      <w:r w:rsidR="00B65DCA" w:rsidRPr="000C29E2">
        <w:t>n</w:t>
      </w:r>
      <w:r w:rsidRPr="00626C12">
        <w:t xml:space="preserve"> in pension</w:t>
      </w:r>
      <w:r w:rsidR="005D4F09" w:rsidRPr="00626C12">
        <w:t xml:space="preserve"> </w:t>
      </w:r>
      <w:r w:rsidR="00BE6D9F" w:rsidRPr="00626C12">
        <w:t xml:space="preserve">and death </w:t>
      </w:r>
      <w:r w:rsidR="005D4F09" w:rsidRPr="00626C12">
        <w:t>benefits</w:t>
      </w:r>
      <w:r w:rsidR="00BE6D9F" w:rsidRPr="00626C12">
        <w:t>.</w:t>
      </w:r>
      <w:r w:rsidRPr="00626C12">
        <w:t xml:space="preserve"> That</w:t>
      </w:r>
      <w:r w:rsidR="005D4F09" w:rsidRPr="00626C12">
        <w:t xml:space="preserve"> represents a cash flow </w:t>
      </w:r>
      <w:r w:rsidRPr="00626C12">
        <w:t xml:space="preserve">shortfall of </w:t>
      </w:r>
      <w:r w:rsidR="00927EF9" w:rsidRPr="00626C12">
        <w:t>over $</w:t>
      </w:r>
      <w:r w:rsidR="005D4F09" w:rsidRPr="00626C12">
        <w:t>7</w:t>
      </w:r>
      <w:r w:rsidR="00626C12" w:rsidRPr="000C29E2">
        <w:t>9</w:t>
      </w:r>
      <w:r w:rsidR="005D4F09" w:rsidRPr="00626C12">
        <w:t xml:space="preserve"> </w:t>
      </w:r>
      <w:r w:rsidRPr="00626C12">
        <w:t>million</w:t>
      </w:r>
      <w:r w:rsidR="005D4F09" w:rsidRPr="00626C12">
        <w:t>, and</w:t>
      </w:r>
      <w:r w:rsidR="005D4F09" w:rsidRPr="00C95AF5">
        <w:t xml:space="preserve"> it is projected to grow in each of the next several years as more members retire. This situation</w:t>
      </w:r>
      <w:r w:rsidR="005379A9" w:rsidRPr="00C95AF5">
        <w:t xml:space="preserve"> is not sustainable</w:t>
      </w:r>
      <w:r w:rsidR="004F3D6F" w:rsidRPr="00C95AF5">
        <w:t>, even if investment returns far surpass the Plan’s assumed return rate</w:t>
      </w:r>
      <w:r w:rsidRPr="00C95AF5">
        <w:t>.</w:t>
      </w:r>
      <w:r w:rsidR="004F3D6F" w:rsidRPr="00C95AF5">
        <w:t xml:space="preserve">  Consequently, every year the Plan’s </w:t>
      </w:r>
      <w:r w:rsidR="006C1ED7" w:rsidRPr="00C95AF5">
        <w:t xml:space="preserve">total assets </w:t>
      </w:r>
      <w:r w:rsidR="005D4F09" w:rsidRPr="00C95AF5">
        <w:t xml:space="preserve">will </w:t>
      </w:r>
      <w:r w:rsidR="006C1ED7" w:rsidRPr="00C95AF5">
        <w:t>decline.</w:t>
      </w:r>
    </w:p>
    <w:bookmarkEnd w:id="1"/>
    <w:p w14:paraId="5909C51D" w14:textId="2B52F23A" w:rsidR="008B63A6" w:rsidRPr="00C95AF5" w:rsidRDefault="004C5F6E" w:rsidP="002D368E">
      <w:pPr>
        <w:keepNext/>
        <w:keepLines/>
        <w:spacing w:line="276" w:lineRule="auto"/>
        <w:jc w:val="center"/>
        <w:rPr>
          <w:b/>
          <w:bCs/>
        </w:rPr>
      </w:pPr>
      <w:r w:rsidRPr="00C95AF5">
        <w:rPr>
          <w:b/>
          <w:bCs/>
          <w:noProof/>
        </w:rPr>
        <mc:AlternateContent>
          <mc:Choice Requires="wps">
            <w:drawing>
              <wp:anchor distT="0" distB="0" distL="114300" distR="114300" simplePos="0" relativeHeight="251659264" behindDoc="1" locked="0" layoutInCell="1" allowOverlap="1" wp14:anchorId="4D69168F" wp14:editId="70EA5B9A">
                <wp:simplePos x="0" y="0"/>
                <wp:positionH relativeFrom="page">
                  <wp:posOffset>4563745</wp:posOffset>
                </wp:positionH>
                <wp:positionV relativeFrom="paragraph">
                  <wp:posOffset>-268605</wp:posOffset>
                </wp:positionV>
                <wp:extent cx="12065" cy="248920"/>
                <wp:effectExtent l="1270" t="2540" r="0" b="0"/>
                <wp:wrapNone/>
                <wp:docPr id="205269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3505A" w14:textId="5B0DD953" w:rsidR="004C5F6E" w:rsidRDefault="004C5F6E" w:rsidP="004C5F6E">
                            <w:pPr>
                              <w:spacing w:line="380" w:lineRule="exact"/>
                              <w:ind w:right="-79"/>
                              <w:rPr>
                                <w:rFonts w:ascii="Arial" w:eastAsia="Arial" w:hAnsi="Arial" w:cs="Arial"/>
                                <w:sz w:val="39"/>
                                <w:szCs w:val="3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168F" id="_x0000_t202" coordsize="21600,21600" o:spt="202" path="m,l,21600r21600,l21600,xe">
                <v:stroke joinstyle="miter"/>
                <v:path gradientshapeok="t" o:connecttype="rect"/>
              </v:shapetype>
              <v:shape id="Text Box 1" o:spid="_x0000_s1026" type="#_x0000_t202" style="position:absolute;left:0;text-align:left;margin-left:359.35pt;margin-top:-21.15pt;width:.95pt;height:1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" filled="f" stroked="f">
                <v:textbox inset="0,0,0,0">
                  <w:txbxContent>
                    <w:p w14:paraId="5393505A" w14:textId="5B0DD953" w:rsidR="004C5F6E" w:rsidRDefault="004C5F6E" w:rsidP="004C5F6E">
                      <w:pPr>
                        <w:spacing w:line="380" w:lineRule="exact"/>
                        <w:ind w:right="-79"/>
                        <w:rPr>
                          <w:rFonts w:ascii="Arial" w:eastAsia="Arial" w:hAnsi="Arial" w:cs="Arial"/>
                          <w:sz w:val="39"/>
                          <w:szCs w:val="39"/>
                        </w:rPr>
                      </w:pPr>
                    </w:p>
                  </w:txbxContent>
                </v:textbox>
                <w10:wrap anchorx="page"/>
              </v:shape>
            </w:pict>
          </mc:Fallback>
        </mc:AlternateContent>
      </w:r>
      <w:r w:rsidR="004403FC" w:rsidRPr="00C95AF5">
        <w:rPr>
          <w:b/>
          <w:bCs/>
        </w:rPr>
        <w:t>Active Members</w:t>
      </w:r>
      <w:r w:rsidR="002D368E" w:rsidRPr="00C95AF5">
        <w:rPr>
          <w:b/>
          <w:bCs/>
        </w:rPr>
        <w:t xml:space="preserve"> vs. Non-Contributing Members </w:t>
      </w:r>
      <w:r w:rsidR="000B7E13" w:rsidRPr="00C95AF5">
        <w:rPr>
          <w:b/>
          <w:bCs/>
        </w:rPr>
        <w:t xml:space="preserve">Entitled to Current or Future Benefits </w:t>
      </w:r>
      <w:r w:rsidR="002D368E" w:rsidRPr="00C95AF5">
        <w:rPr>
          <w:b/>
          <w:bCs/>
        </w:rPr>
        <w:t>(Retirees, Beneficiaries and Terminated Vested Members</w:t>
      </w:r>
      <w:r w:rsidR="000B7E13" w:rsidRPr="00C95AF5">
        <w:rPr>
          <w:b/>
          <w:bCs/>
        </w:rPr>
        <w:t>)</w:t>
      </w:r>
    </w:p>
    <w:tbl>
      <w:tblPr>
        <w:tblW w:w="93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8"/>
        <w:gridCol w:w="1080"/>
        <w:gridCol w:w="1080"/>
        <w:gridCol w:w="1080"/>
        <w:gridCol w:w="1080"/>
        <w:gridCol w:w="1080"/>
        <w:gridCol w:w="1170"/>
      </w:tblGrid>
      <w:tr w:rsidR="002D368E" w:rsidRPr="00C95AF5" w14:paraId="4A1B5589" w14:textId="77777777" w:rsidTr="0077640D">
        <w:trPr>
          <w:trHeight w:val="360"/>
        </w:trPr>
        <w:tc>
          <w:tcPr>
            <w:tcW w:w="2778" w:type="dxa"/>
            <w:tcBorders>
              <w:top w:val="none" w:sz="6" w:space="0" w:color="auto"/>
              <w:bottom w:val="none" w:sz="6" w:space="0" w:color="auto"/>
              <w:right w:val="none" w:sz="6" w:space="0" w:color="auto"/>
            </w:tcBorders>
          </w:tcPr>
          <w:p w14:paraId="7A183401" w14:textId="3C0E316B" w:rsidR="002D368E" w:rsidRPr="0077640D" w:rsidRDefault="005D4F09" w:rsidP="002D368E">
            <w:pPr>
              <w:pStyle w:val="Default"/>
              <w:keepNext/>
              <w:keepLines/>
              <w:spacing w:line="276" w:lineRule="auto"/>
              <w:rPr>
                <w:sz w:val="18"/>
                <w:szCs w:val="18"/>
              </w:rPr>
            </w:pPr>
            <w:r w:rsidRPr="0077640D">
              <w:rPr>
                <w:b/>
                <w:bCs/>
                <w:sz w:val="18"/>
                <w:szCs w:val="18"/>
              </w:rPr>
              <w:t>July 1</w:t>
            </w:r>
          </w:p>
        </w:tc>
        <w:tc>
          <w:tcPr>
            <w:tcW w:w="1080" w:type="dxa"/>
            <w:tcBorders>
              <w:top w:val="none" w:sz="6" w:space="0" w:color="auto"/>
              <w:left w:val="none" w:sz="6" w:space="0" w:color="auto"/>
              <w:bottom w:val="none" w:sz="6" w:space="0" w:color="auto"/>
              <w:right w:val="none" w:sz="6" w:space="0" w:color="auto"/>
            </w:tcBorders>
          </w:tcPr>
          <w:p w14:paraId="21EBA022" w14:textId="77777777" w:rsidR="005D4F09" w:rsidRPr="0077640D" w:rsidRDefault="005D4F09" w:rsidP="0077640D">
            <w:pPr>
              <w:pStyle w:val="Default"/>
              <w:keepNext/>
              <w:keepLines/>
              <w:spacing w:line="276" w:lineRule="auto"/>
              <w:jc w:val="center"/>
              <w:rPr>
                <w:b/>
                <w:bCs/>
                <w:sz w:val="18"/>
                <w:szCs w:val="18"/>
              </w:rPr>
            </w:pPr>
          </w:p>
          <w:p w14:paraId="0D901150" w14:textId="078A97F6" w:rsidR="002D368E" w:rsidRPr="0077640D" w:rsidRDefault="002D368E" w:rsidP="0077640D">
            <w:pPr>
              <w:pStyle w:val="Default"/>
              <w:keepNext/>
              <w:keepLines/>
              <w:spacing w:line="276" w:lineRule="auto"/>
              <w:jc w:val="center"/>
              <w:rPr>
                <w:sz w:val="18"/>
                <w:szCs w:val="18"/>
              </w:rPr>
            </w:pPr>
            <w:r w:rsidRPr="0077640D">
              <w:rPr>
                <w:b/>
                <w:bCs/>
                <w:sz w:val="18"/>
                <w:szCs w:val="18"/>
              </w:rPr>
              <w:t>2018</w:t>
            </w:r>
          </w:p>
        </w:tc>
        <w:tc>
          <w:tcPr>
            <w:tcW w:w="1080" w:type="dxa"/>
            <w:tcBorders>
              <w:top w:val="none" w:sz="6" w:space="0" w:color="auto"/>
              <w:left w:val="none" w:sz="6" w:space="0" w:color="auto"/>
              <w:bottom w:val="none" w:sz="6" w:space="0" w:color="auto"/>
              <w:right w:val="none" w:sz="6" w:space="0" w:color="auto"/>
            </w:tcBorders>
          </w:tcPr>
          <w:p w14:paraId="681B274E" w14:textId="77777777" w:rsidR="005D4F09" w:rsidRPr="0077640D" w:rsidRDefault="005D4F09" w:rsidP="0077640D">
            <w:pPr>
              <w:pStyle w:val="Default"/>
              <w:keepNext/>
              <w:keepLines/>
              <w:spacing w:line="276" w:lineRule="auto"/>
              <w:jc w:val="center"/>
              <w:rPr>
                <w:b/>
                <w:bCs/>
                <w:sz w:val="18"/>
                <w:szCs w:val="18"/>
              </w:rPr>
            </w:pPr>
          </w:p>
          <w:p w14:paraId="6AF4E2C8" w14:textId="6AF473C8" w:rsidR="002D368E" w:rsidRPr="0077640D" w:rsidRDefault="002D368E" w:rsidP="0077640D">
            <w:pPr>
              <w:pStyle w:val="Default"/>
              <w:keepNext/>
              <w:keepLines/>
              <w:spacing w:line="276" w:lineRule="auto"/>
              <w:jc w:val="center"/>
              <w:rPr>
                <w:sz w:val="18"/>
                <w:szCs w:val="18"/>
              </w:rPr>
            </w:pPr>
            <w:r w:rsidRPr="0077640D">
              <w:rPr>
                <w:b/>
                <w:bCs/>
                <w:sz w:val="18"/>
                <w:szCs w:val="18"/>
              </w:rPr>
              <w:t>2019</w:t>
            </w:r>
          </w:p>
        </w:tc>
        <w:tc>
          <w:tcPr>
            <w:tcW w:w="1080" w:type="dxa"/>
            <w:tcBorders>
              <w:top w:val="none" w:sz="6" w:space="0" w:color="auto"/>
              <w:left w:val="none" w:sz="6" w:space="0" w:color="auto"/>
              <w:bottom w:val="none" w:sz="6" w:space="0" w:color="auto"/>
              <w:right w:val="none" w:sz="6" w:space="0" w:color="auto"/>
            </w:tcBorders>
          </w:tcPr>
          <w:p w14:paraId="3FEDDAA0" w14:textId="77777777" w:rsidR="005D4F09" w:rsidRPr="0077640D" w:rsidRDefault="005D4F09" w:rsidP="0077640D">
            <w:pPr>
              <w:pStyle w:val="Default"/>
              <w:keepNext/>
              <w:keepLines/>
              <w:spacing w:line="276" w:lineRule="auto"/>
              <w:jc w:val="center"/>
              <w:rPr>
                <w:b/>
                <w:bCs/>
                <w:sz w:val="18"/>
                <w:szCs w:val="18"/>
              </w:rPr>
            </w:pPr>
          </w:p>
          <w:p w14:paraId="4FACFFC0" w14:textId="1AAB89E1" w:rsidR="002D368E" w:rsidRPr="0077640D" w:rsidRDefault="002D368E" w:rsidP="0077640D">
            <w:pPr>
              <w:pStyle w:val="Default"/>
              <w:keepNext/>
              <w:keepLines/>
              <w:spacing w:line="276" w:lineRule="auto"/>
              <w:jc w:val="center"/>
              <w:rPr>
                <w:sz w:val="18"/>
                <w:szCs w:val="18"/>
              </w:rPr>
            </w:pPr>
            <w:r w:rsidRPr="0077640D">
              <w:rPr>
                <w:b/>
                <w:bCs/>
                <w:sz w:val="18"/>
                <w:szCs w:val="18"/>
              </w:rPr>
              <w:t>2020</w:t>
            </w:r>
          </w:p>
        </w:tc>
        <w:tc>
          <w:tcPr>
            <w:tcW w:w="1080" w:type="dxa"/>
            <w:tcBorders>
              <w:top w:val="none" w:sz="6" w:space="0" w:color="auto"/>
              <w:left w:val="none" w:sz="6" w:space="0" w:color="auto"/>
              <w:bottom w:val="none" w:sz="6" w:space="0" w:color="auto"/>
              <w:right w:val="none" w:sz="6" w:space="0" w:color="auto"/>
            </w:tcBorders>
          </w:tcPr>
          <w:p w14:paraId="0FC2136F" w14:textId="77777777" w:rsidR="005D4F09" w:rsidRPr="0077640D" w:rsidRDefault="005D4F09" w:rsidP="0077640D">
            <w:pPr>
              <w:pStyle w:val="Default"/>
              <w:keepNext/>
              <w:keepLines/>
              <w:spacing w:line="276" w:lineRule="auto"/>
              <w:jc w:val="center"/>
              <w:rPr>
                <w:b/>
                <w:bCs/>
                <w:sz w:val="18"/>
                <w:szCs w:val="18"/>
              </w:rPr>
            </w:pPr>
          </w:p>
          <w:p w14:paraId="3ADC5493" w14:textId="41D54C50" w:rsidR="002D368E" w:rsidRPr="0077640D" w:rsidRDefault="002D368E" w:rsidP="0077640D">
            <w:pPr>
              <w:pStyle w:val="Default"/>
              <w:keepNext/>
              <w:keepLines/>
              <w:spacing w:line="276" w:lineRule="auto"/>
              <w:jc w:val="center"/>
              <w:rPr>
                <w:sz w:val="18"/>
                <w:szCs w:val="18"/>
              </w:rPr>
            </w:pPr>
            <w:r w:rsidRPr="0077640D">
              <w:rPr>
                <w:b/>
                <w:bCs/>
                <w:sz w:val="18"/>
                <w:szCs w:val="18"/>
              </w:rPr>
              <w:t>2021</w:t>
            </w:r>
          </w:p>
        </w:tc>
        <w:tc>
          <w:tcPr>
            <w:tcW w:w="1080" w:type="dxa"/>
            <w:tcBorders>
              <w:top w:val="none" w:sz="6" w:space="0" w:color="auto"/>
              <w:left w:val="none" w:sz="6" w:space="0" w:color="auto"/>
              <w:bottom w:val="none" w:sz="6" w:space="0" w:color="auto"/>
            </w:tcBorders>
          </w:tcPr>
          <w:p w14:paraId="5FFEB5C3" w14:textId="77777777" w:rsidR="005D4F09" w:rsidRPr="0077640D" w:rsidRDefault="005D4F09" w:rsidP="0077640D">
            <w:pPr>
              <w:pStyle w:val="Default"/>
              <w:keepNext/>
              <w:keepLines/>
              <w:spacing w:line="276" w:lineRule="auto"/>
              <w:jc w:val="center"/>
              <w:rPr>
                <w:b/>
                <w:bCs/>
                <w:sz w:val="18"/>
                <w:szCs w:val="18"/>
              </w:rPr>
            </w:pPr>
          </w:p>
          <w:p w14:paraId="2D9A9631" w14:textId="7FFE200D" w:rsidR="002D368E" w:rsidRPr="0077640D" w:rsidRDefault="002D368E" w:rsidP="0077640D">
            <w:pPr>
              <w:pStyle w:val="Default"/>
              <w:keepNext/>
              <w:keepLines/>
              <w:spacing w:line="276" w:lineRule="auto"/>
              <w:jc w:val="center"/>
              <w:rPr>
                <w:sz w:val="18"/>
                <w:szCs w:val="18"/>
              </w:rPr>
            </w:pPr>
            <w:r w:rsidRPr="0077640D">
              <w:rPr>
                <w:b/>
                <w:bCs/>
                <w:sz w:val="18"/>
                <w:szCs w:val="18"/>
              </w:rPr>
              <w:t>2022</w:t>
            </w:r>
          </w:p>
        </w:tc>
        <w:tc>
          <w:tcPr>
            <w:tcW w:w="1170" w:type="dxa"/>
            <w:tcBorders>
              <w:top w:val="none" w:sz="6" w:space="0" w:color="auto"/>
              <w:left w:val="none" w:sz="6" w:space="0" w:color="auto"/>
              <w:bottom w:val="none" w:sz="6" w:space="0" w:color="auto"/>
            </w:tcBorders>
          </w:tcPr>
          <w:p w14:paraId="2E78A5BE" w14:textId="7559FA5D" w:rsidR="005D4F09" w:rsidRPr="0077640D" w:rsidRDefault="005D4F09" w:rsidP="0077640D">
            <w:pPr>
              <w:pStyle w:val="Default"/>
              <w:keepNext/>
              <w:keepLines/>
              <w:spacing w:line="276" w:lineRule="auto"/>
              <w:jc w:val="center"/>
              <w:rPr>
                <w:b/>
                <w:bCs/>
                <w:i/>
                <w:iCs/>
                <w:sz w:val="18"/>
                <w:szCs w:val="18"/>
              </w:rPr>
            </w:pPr>
            <w:r w:rsidRPr="0077640D">
              <w:rPr>
                <w:b/>
                <w:bCs/>
                <w:i/>
                <w:iCs/>
                <w:sz w:val="18"/>
                <w:szCs w:val="18"/>
              </w:rPr>
              <w:t>Estimated</w:t>
            </w:r>
          </w:p>
          <w:p w14:paraId="1E80B137" w14:textId="25C2480D" w:rsidR="002D368E" w:rsidRPr="0077640D" w:rsidRDefault="002D368E" w:rsidP="0077640D">
            <w:pPr>
              <w:pStyle w:val="Default"/>
              <w:keepNext/>
              <w:keepLines/>
              <w:spacing w:line="276" w:lineRule="auto"/>
              <w:jc w:val="center"/>
              <w:rPr>
                <w:b/>
                <w:bCs/>
                <w:sz w:val="18"/>
                <w:szCs w:val="18"/>
              </w:rPr>
            </w:pPr>
            <w:r w:rsidRPr="0077640D">
              <w:rPr>
                <w:b/>
                <w:bCs/>
                <w:sz w:val="18"/>
                <w:szCs w:val="18"/>
              </w:rPr>
              <w:t xml:space="preserve">2023 </w:t>
            </w:r>
          </w:p>
        </w:tc>
      </w:tr>
      <w:tr w:rsidR="002D368E" w:rsidRPr="00C95AF5" w14:paraId="4827CF22" w14:textId="77777777" w:rsidTr="0077640D">
        <w:trPr>
          <w:trHeight w:val="191"/>
        </w:trPr>
        <w:tc>
          <w:tcPr>
            <w:tcW w:w="2778" w:type="dxa"/>
            <w:tcBorders>
              <w:top w:val="none" w:sz="6" w:space="0" w:color="auto"/>
              <w:bottom w:val="none" w:sz="6" w:space="0" w:color="auto"/>
              <w:right w:val="none" w:sz="6" w:space="0" w:color="auto"/>
            </w:tcBorders>
          </w:tcPr>
          <w:p w14:paraId="11567CDF" w14:textId="2952DDB6" w:rsidR="002D368E" w:rsidRPr="0077640D" w:rsidRDefault="005D4F09" w:rsidP="005D4F09">
            <w:pPr>
              <w:pStyle w:val="Default"/>
              <w:keepNext/>
              <w:keepLines/>
              <w:spacing w:line="276" w:lineRule="auto"/>
              <w:rPr>
                <w:sz w:val="18"/>
                <w:szCs w:val="18"/>
              </w:rPr>
            </w:pPr>
            <w:r w:rsidRPr="0077640D">
              <w:rPr>
                <w:b/>
                <w:bCs/>
                <w:sz w:val="18"/>
                <w:szCs w:val="18"/>
              </w:rPr>
              <w:t>Active members</w:t>
            </w:r>
          </w:p>
        </w:tc>
        <w:tc>
          <w:tcPr>
            <w:tcW w:w="1080" w:type="dxa"/>
            <w:tcBorders>
              <w:top w:val="none" w:sz="6" w:space="0" w:color="auto"/>
              <w:left w:val="none" w:sz="6" w:space="0" w:color="auto"/>
              <w:bottom w:val="none" w:sz="6" w:space="0" w:color="auto"/>
              <w:right w:val="none" w:sz="6" w:space="0" w:color="auto"/>
            </w:tcBorders>
          </w:tcPr>
          <w:p w14:paraId="3E013295" w14:textId="77777777" w:rsidR="002D368E" w:rsidRPr="0077640D" w:rsidRDefault="002D368E" w:rsidP="0077640D">
            <w:pPr>
              <w:pStyle w:val="Default"/>
              <w:keepNext/>
              <w:keepLines/>
              <w:spacing w:line="276" w:lineRule="auto"/>
              <w:jc w:val="right"/>
              <w:rPr>
                <w:sz w:val="18"/>
                <w:szCs w:val="18"/>
              </w:rPr>
            </w:pPr>
            <w:r w:rsidRPr="0077640D">
              <w:rPr>
                <w:sz w:val="18"/>
                <w:szCs w:val="18"/>
              </w:rPr>
              <w:t>5,990</w:t>
            </w:r>
          </w:p>
        </w:tc>
        <w:tc>
          <w:tcPr>
            <w:tcW w:w="1080" w:type="dxa"/>
            <w:tcBorders>
              <w:top w:val="none" w:sz="6" w:space="0" w:color="auto"/>
              <w:left w:val="none" w:sz="6" w:space="0" w:color="auto"/>
              <w:bottom w:val="none" w:sz="6" w:space="0" w:color="auto"/>
              <w:right w:val="none" w:sz="6" w:space="0" w:color="auto"/>
            </w:tcBorders>
          </w:tcPr>
          <w:p w14:paraId="4EFE411D" w14:textId="77777777" w:rsidR="002D368E" w:rsidRPr="0077640D" w:rsidRDefault="002D368E" w:rsidP="0077640D">
            <w:pPr>
              <w:pStyle w:val="Default"/>
              <w:keepNext/>
              <w:keepLines/>
              <w:spacing w:line="276" w:lineRule="auto"/>
              <w:jc w:val="right"/>
              <w:rPr>
                <w:sz w:val="18"/>
                <w:szCs w:val="18"/>
              </w:rPr>
            </w:pPr>
            <w:r w:rsidRPr="0077640D">
              <w:rPr>
                <w:sz w:val="18"/>
                <w:szCs w:val="18"/>
              </w:rPr>
              <w:t>4,691</w:t>
            </w:r>
          </w:p>
        </w:tc>
        <w:tc>
          <w:tcPr>
            <w:tcW w:w="1080" w:type="dxa"/>
            <w:tcBorders>
              <w:top w:val="none" w:sz="6" w:space="0" w:color="auto"/>
              <w:left w:val="none" w:sz="6" w:space="0" w:color="auto"/>
              <w:bottom w:val="none" w:sz="6" w:space="0" w:color="auto"/>
              <w:right w:val="none" w:sz="6" w:space="0" w:color="auto"/>
            </w:tcBorders>
          </w:tcPr>
          <w:p w14:paraId="0B14DE37" w14:textId="77777777" w:rsidR="002D368E" w:rsidRPr="0077640D" w:rsidRDefault="002D368E" w:rsidP="0077640D">
            <w:pPr>
              <w:pStyle w:val="Default"/>
              <w:keepNext/>
              <w:keepLines/>
              <w:spacing w:line="276" w:lineRule="auto"/>
              <w:jc w:val="right"/>
              <w:rPr>
                <w:sz w:val="18"/>
                <w:szCs w:val="18"/>
              </w:rPr>
            </w:pPr>
            <w:r w:rsidRPr="0077640D">
              <w:rPr>
                <w:sz w:val="18"/>
                <w:szCs w:val="18"/>
              </w:rPr>
              <w:t>4,230</w:t>
            </w:r>
          </w:p>
        </w:tc>
        <w:tc>
          <w:tcPr>
            <w:tcW w:w="1080" w:type="dxa"/>
            <w:tcBorders>
              <w:top w:val="none" w:sz="6" w:space="0" w:color="auto"/>
              <w:left w:val="none" w:sz="6" w:space="0" w:color="auto"/>
              <w:bottom w:val="none" w:sz="6" w:space="0" w:color="auto"/>
              <w:right w:val="none" w:sz="6" w:space="0" w:color="auto"/>
            </w:tcBorders>
          </w:tcPr>
          <w:p w14:paraId="3A9D8DF1" w14:textId="6B10516D" w:rsidR="002D368E" w:rsidRPr="0077640D" w:rsidRDefault="002D368E" w:rsidP="0077640D">
            <w:pPr>
              <w:pStyle w:val="Default"/>
              <w:keepNext/>
              <w:keepLines/>
              <w:spacing w:line="276" w:lineRule="auto"/>
              <w:jc w:val="right"/>
              <w:rPr>
                <w:sz w:val="18"/>
                <w:szCs w:val="18"/>
              </w:rPr>
            </w:pPr>
            <w:r w:rsidRPr="0077640D">
              <w:rPr>
                <w:sz w:val="18"/>
                <w:szCs w:val="18"/>
              </w:rPr>
              <w:t>3,80</w:t>
            </w:r>
            <w:r w:rsidR="007A66DB" w:rsidRPr="0077640D">
              <w:rPr>
                <w:sz w:val="18"/>
                <w:szCs w:val="18"/>
              </w:rPr>
              <w:t>7</w:t>
            </w:r>
          </w:p>
        </w:tc>
        <w:tc>
          <w:tcPr>
            <w:tcW w:w="1080" w:type="dxa"/>
            <w:tcBorders>
              <w:top w:val="none" w:sz="6" w:space="0" w:color="auto"/>
              <w:left w:val="none" w:sz="6" w:space="0" w:color="auto"/>
              <w:bottom w:val="none" w:sz="6" w:space="0" w:color="auto"/>
            </w:tcBorders>
          </w:tcPr>
          <w:p w14:paraId="495B259A" w14:textId="6C10B948" w:rsidR="002D368E" w:rsidRPr="0077640D" w:rsidRDefault="002D368E" w:rsidP="0077640D">
            <w:pPr>
              <w:pStyle w:val="Default"/>
              <w:keepNext/>
              <w:keepLines/>
              <w:spacing w:line="276" w:lineRule="auto"/>
              <w:jc w:val="right"/>
              <w:rPr>
                <w:sz w:val="18"/>
                <w:szCs w:val="18"/>
              </w:rPr>
            </w:pPr>
            <w:r w:rsidRPr="0077640D">
              <w:rPr>
                <w:sz w:val="18"/>
                <w:szCs w:val="18"/>
              </w:rPr>
              <w:t>4,</w:t>
            </w:r>
            <w:r w:rsidR="007A66DB" w:rsidRPr="0077640D">
              <w:rPr>
                <w:sz w:val="18"/>
                <w:szCs w:val="18"/>
              </w:rPr>
              <w:t>105</w:t>
            </w:r>
          </w:p>
        </w:tc>
        <w:tc>
          <w:tcPr>
            <w:tcW w:w="1170" w:type="dxa"/>
            <w:tcBorders>
              <w:top w:val="none" w:sz="6" w:space="0" w:color="auto"/>
              <w:left w:val="none" w:sz="6" w:space="0" w:color="auto"/>
              <w:bottom w:val="none" w:sz="6" w:space="0" w:color="auto"/>
            </w:tcBorders>
          </w:tcPr>
          <w:p w14:paraId="48BE509F" w14:textId="1A56E33D" w:rsidR="002D368E" w:rsidRPr="0077640D" w:rsidRDefault="007A66DB" w:rsidP="0077640D">
            <w:pPr>
              <w:pStyle w:val="Default"/>
              <w:keepNext/>
              <w:keepLines/>
              <w:spacing w:line="276" w:lineRule="auto"/>
              <w:jc w:val="right"/>
              <w:rPr>
                <w:sz w:val="18"/>
                <w:szCs w:val="18"/>
              </w:rPr>
            </w:pPr>
            <w:r w:rsidRPr="0077640D">
              <w:rPr>
                <w:sz w:val="18"/>
                <w:szCs w:val="18"/>
              </w:rPr>
              <w:t>3,779</w:t>
            </w:r>
          </w:p>
        </w:tc>
      </w:tr>
      <w:tr w:rsidR="002D368E" w:rsidRPr="00C95AF5" w14:paraId="7EADB437" w14:textId="77777777" w:rsidTr="0077640D">
        <w:trPr>
          <w:trHeight w:val="191"/>
        </w:trPr>
        <w:tc>
          <w:tcPr>
            <w:tcW w:w="2778" w:type="dxa"/>
            <w:tcBorders>
              <w:top w:val="none" w:sz="6" w:space="0" w:color="auto"/>
              <w:bottom w:val="none" w:sz="6" w:space="0" w:color="auto"/>
              <w:right w:val="none" w:sz="6" w:space="0" w:color="auto"/>
            </w:tcBorders>
          </w:tcPr>
          <w:p w14:paraId="0553EBC6" w14:textId="58A0F491" w:rsidR="002D368E" w:rsidRPr="0077640D" w:rsidRDefault="005D4F09" w:rsidP="005D4F09">
            <w:pPr>
              <w:pStyle w:val="Default"/>
              <w:spacing w:line="276" w:lineRule="auto"/>
              <w:rPr>
                <w:sz w:val="18"/>
                <w:szCs w:val="18"/>
              </w:rPr>
            </w:pPr>
            <w:r w:rsidRPr="0077640D">
              <w:rPr>
                <w:b/>
                <w:bCs/>
                <w:sz w:val="18"/>
                <w:szCs w:val="18"/>
              </w:rPr>
              <w:t>Terminated vested members</w:t>
            </w:r>
          </w:p>
        </w:tc>
        <w:tc>
          <w:tcPr>
            <w:tcW w:w="1080" w:type="dxa"/>
            <w:tcBorders>
              <w:top w:val="none" w:sz="6" w:space="0" w:color="auto"/>
              <w:left w:val="none" w:sz="6" w:space="0" w:color="auto"/>
              <w:bottom w:val="none" w:sz="6" w:space="0" w:color="auto"/>
              <w:right w:val="none" w:sz="6" w:space="0" w:color="auto"/>
            </w:tcBorders>
          </w:tcPr>
          <w:p w14:paraId="7F88BCAE" w14:textId="77777777" w:rsidR="002D368E" w:rsidRPr="0077640D" w:rsidRDefault="002D368E" w:rsidP="0077640D">
            <w:pPr>
              <w:pStyle w:val="Default"/>
              <w:spacing w:line="276" w:lineRule="auto"/>
              <w:jc w:val="right"/>
              <w:rPr>
                <w:sz w:val="18"/>
                <w:szCs w:val="18"/>
              </w:rPr>
            </w:pPr>
            <w:r w:rsidRPr="0077640D">
              <w:rPr>
                <w:sz w:val="18"/>
                <w:szCs w:val="18"/>
              </w:rPr>
              <w:t>12,432</w:t>
            </w:r>
          </w:p>
        </w:tc>
        <w:tc>
          <w:tcPr>
            <w:tcW w:w="1080" w:type="dxa"/>
            <w:tcBorders>
              <w:top w:val="none" w:sz="6" w:space="0" w:color="auto"/>
              <w:left w:val="none" w:sz="6" w:space="0" w:color="auto"/>
              <w:bottom w:val="none" w:sz="6" w:space="0" w:color="auto"/>
              <w:right w:val="none" w:sz="6" w:space="0" w:color="auto"/>
            </w:tcBorders>
          </w:tcPr>
          <w:p w14:paraId="3BBB506E" w14:textId="77777777" w:rsidR="002D368E" w:rsidRPr="0077640D" w:rsidRDefault="002D368E" w:rsidP="0077640D">
            <w:pPr>
              <w:pStyle w:val="Default"/>
              <w:spacing w:line="276" w:lineRule="auto"/>
              <w:jc w:val="right"/>
              <w:rPr>
                <w:sz w:val="18"/>
                <w:szCs w:val="18"/>
              </w:rPr>
            </w:pPr>
            <w:r w:rsidRPr="0077640D">
              <w:rPr>
                <w:sz w:val="18"/>
                <w:szCs w:val="18"/>
              </w:rPr>
              <w:t>13,468</w:t>
            </w:r>
          </w:p>
        </w:tc>
        <w:tc>
          <w:tcPr>
            <w:tcW w:w="1080" w:type="dxa"/>
            <w:tcBorders>
              <w:top w:val="none" w:sz="6" w:space="0" w:color="auto"/>
              <w:left w:val="none" w:sz="6" w:space="0" w:color="auto"/>
              <w:bottom w:val="none" w:sz="6" w:space="0" w:color="auto"/>
              <w:right w:val="none" w:sz="6" w:space="0" w:color="auto"/>
            </w:tcBorders>
          </w:tcPr>
          <w:p w14:paraId="1C09511F" w14:textId="77777777" w:rsidR="002D368E" w:rsidRPr="0077640D" w:rsidRDefault="002D368E" w:rsidP="0077640D">
            <w:pPr>
              <w:pStyle w:val="Default"/>
              <w:spacing w:line="276" w:lineRule="auto"/>
              <w:jc w:val="right"/>
              <w:rPr>
                <w:sz w:val="18"/>
                <w:szCs w:val="18"/>
              </w:rPr>
            </w:pPr>
            <w:r w:rsidRPr="0077640D">
              <w:rPr>
                <w:sz w:val="18"/>
                <w:szCs w:val="18"/>
              </w:rPr>
              <w:t>13,599</w:t>
            </w:r>
          </w:p>
        </w:tc>
        <w:tc>
          <w:tcPr>
            <w:tcW w:w="1080" w:type="dxa"/>
            <w:tcBorders>
              <w:top w:val="none" w:sz="6" w:space="0" w:color="auto"/>
              <w:left w:val="none" w:sz="6" w:space="0" w:color="auto"/>
              <w:bottom w:val="none" w:sz="6" w:space="0" w:color="auto"/>
              <w:right w:val="none" w:sz="6" w:space="0" w:color="auto"/>
            </w:tcBorders>
          </w:tcPr>
          <w:p w14:paraId="2C79DED7" w14:textId="77777777" w:rsidR="002D368E" w:rsidRPr="0077640D" w:rsidRDefault="002D368E" w:rsidP="0077640D">
            <w:pPr>
              <w:pStyle w:val="Default"/>
              <w:spacing w:line="276" w:lineRule="auto"/>
              <w:jc w:val="right"/>
              <w:rPr>
                <w:sz w:val="18"/>
                <w:szCs w:val="18"/>
              </w:rPr>
            </w:pPr>
            <w:r w:rsidRPr="0077640D">
              <w:rPr>
                <w:sz w:val="18"/>
                <w:szCs w:val="18"/>
              </w:rPr>
              <w:t>13,625</w:t>
            </w:r>
          </w:p>
        </w:tc>
        <w:tc>
          <w:tcPr>
            <w:tcW w:w="1080" w:type="dxa"/>
            <w:tcBorders>
              <w:top w:val="none" w:sz="6" w:space="0" w:color="auto"/>
              <w:left w:val="none" w:sz="6" w:space="0" w:color="auto"/>
              <w:bottom w:val="none" w:sz="6" w:space="0" w:color="auto"/>
            </w:tcBorders>
          </w:tcPr>
          <w:p w14:paraId="5A66AA02" w14:textId="77777777" w:rsidR="002D368E" w:rsidRPr="0077640D" w:rsidRDefault="002D368E" w:rsidP="0077640D">
            <w:pPr>
              <w:pStyle w:val="Default"/>
              <w:spacing w:line="276" w:lineRule="auto"/>
              <w:jc w:val="right"/>
              <w:rPr>
                <w:sz w:val="18"/>
                <w:szCs w:val="18"/>
              </w:rPr>
            </w:pPr>
            <w:r w:rsidRPr="0077640D">
              <w:rPr>
                <w:sz w:val="18"/>
                <w:szCs w:val="18"/>
              </w:rPr>
              <w:t>13,509</w:t>
            </w:r>
          </w:p>
        </w:tc>
        <w:tc>
          <w:tcPr>
            <w:tcW w:w="1170" w:type="dxa"/>
            <w:tcBorders>
              <w:top w:val="none" w:sz="6" w:space="0" w:color="auto"/>
              <w:left w:val="none" w:sz="6" w:space="0" w:color="auto"/>
              <w:bottom w:val="none" w:sz="6" w:space="0" w:color="auto"/>
            </w:tcBorders>
          </w:tcPr>
          <w:p w14:paraId="2F94E8A4" w14:textId="7BB7C000" w:rsidR="002D368E" w:rsidRPr="0077640D" w:rsidRDefault="007A66DB" w:rsidP="0077640D">
            <w:pPr>
              <w:pStyle w:val="Default"/>
              <w:spacing w:line="276" w:lineRule="auto"/>
              <w:jc w:val="right"/>
              <w:rPr>
                <w:sz w:val="18"/>
                <w:szCs w:val="18"/>
              </w:rPr>
            </w:pPr>
            <w:r w:rsidRPr="0077640D">
              <w:rPr>
                <w:sz w:val="18"/>
                <w:szCs w:val="18"/>
              </w:rPr>
              <w:t>12,659</w:t>
            </w:r>
          </w:p>
        </w:tc>
      </w:tr>
      <w:tr w:rsidR="002D368E" w:rsidRPr="00C95AF5" w14:paraId="17FAD0B1" w14:textId="77777777" w:rsidTr="0077640D">
        <w:trPr>
          <w:trHeight w:val="191"/>
        </w:trPr>
        <w:tc>
          <w:tcPr>
            <w:tcW w:w="2778" w:type="dxa"/>
            <w:tcBorders>
              <w:top w:val="none" w:sz="6" w:space="0" w:color="auto"/>
              <w:bottom w:val="none" w:sz="6" w:space="0" w:color="auto"/>
              <w:right w:val="none" w:sz="6" w:space="0" w:color="auto"/>
            </w:tcBorders>
          </w:tcPr>
          <w:p w14:paraId="4D82D5EE" w14:textId="31D350CB" w:rsidR="002D368E" w:rsidRPr="0077640D" w:rsidRDefault="005D4F09" w:rsidP="005D4F09">
            <w:pPr>
              <w:pStyle w:val="Default"/>
              <w:spacing w:line="276" w:lineRule="auto"/>
              <w:rPr>
                <w:sz w:val="18"/>
                <w:szCs w:val="18"/>
              </w:rPr>
            </w:pPr>
            <w:r w:rsidRPr="0077640D">
              <w:rPr>
                <w:b/>
                <w:bCs/>
                <w:sz w:val="18"/>
                <w:szCs w:val="18"/>
              </w:rPr>
              <w:t>Retirees</w:t>
            </w:r>
          </w:p>
        </w:tc>
        <w:tc>
          <w:tcPr>
            <w:tcW w:w="1080" w:type="dxa"/>
            <w:tcBorders>
              <w:top w:val="none" w:sz="6" w:space="0" w:color="auto"/>
              <w:left w:val="none" w:sz="6" w:space="0" w:color="auto"/>
              <w:bottom w:val="none" w:sz="6" w:space="0" w:color="auto"/>
              <w:right w:val="none" w:sz="6" w:space="0" w:color="auto"/>
            </w:tcBorders>
          </w:tcPr>
          <w:p w14:paraId="2F55EEF8" w14:textId="77777777" w:rsidR="002D368E" w:rsidRPr="0077640D" w:rsidRDefault="002D368E" w:rsidP="0077640D">
            <w:pPr>
              <w:pStyle w:val="Default"/>
              <w:spacing w:line="276" w:lineRule="auto"/>
              <w:jc w:val="right"/>
              <w:rPr>
                <w:sz w:val="18"/>
                <w:szCs w:val="18"/>
              </w:rPr>
            </w:pPr>
            <w:r w:rsidRPr="0077640D">
              <w:rPr>
                <w:sz w:val="18"/>
                <w:szCs w:val="18"/>
              </w:rPr>
              <w:t>15,036</w:t>
            </w:r>
          </w:p>
        </w:tc>
        <w:tc>
          <w:tcPr>
            <w:tcW w:w="1080" w:type="dxa"/>
            <w:tcBorders>
              <w:top w:val="none" w:sz="6" w:space="0" w:color="auto"/>
              <w:left w:val="none" w:sz="6" w:space="0" w:color="auto"/>
              <w:bottom w:val="none" w:sz="6" w:space="0" w:color="auto"/>
              <w:right w:val="none" w:sz="6" w:space="0" w:color="auto"/>
            </w:tcBorders>
          </w:tcPr>
          <w:p w14:paraId="0EBD5BF7" w14:textId="77777777" w:rsidR="002D368E" w:rsidRPr="0077640D" w:rsidRDefault="002D368E" w:rsidP="0077640D">
            <w:pPr>
              <w:pStyle w:val="Default"/>
              <w:spacing w:line="276" w:lineRule="auto"/>
              <w:jc w:val="right"/>
              <w:rPr>
                <w:sz w:val="18"/>
                <w:szCs w:val="18"/>
              </w:rPr>
            </w:pPr>
            <w:r w:rsidRPr="0077640D">
              <w:rPr>
                <w:sz w:val="18"/>
                <w:szCs w:val="18"/>
              </w:rPr>
              <w:t>14,645</w:t>
            </w:r>
          </w:p>
        </w:tc>
        <w:tc>
          <w:tcPr>
            <w:tcW w:w="1080" w:type="dxa"/>
            <w:tcBorders>
              <w:top w:val="none" w:sz="6" w:space="0" w:color="auto"/>
              <w:left w:val="none" w:sz="6" w:space="0" w:color="auto"/>
              <w:bottom w:val="none" w:sz="6" w:space="0" w:color="auto"/>
              <w:right w:val="none" w:sz="6" w:space="0" w:color="auto"/>
            </w:tcBorders>
          </w:tcPr>
          <w:p w14:paraId="117DCB3B" w14:textId="77777777" w:rsidR="002D368E" w:rsidRPr="0077640D" w:rsidRDefault="002D368E" w:rsidP="0077640D">
            <w:pPr>
              <w:pStyle w:val="Default"/>
              <w:spacing w:line="276" w:lineRule="auto"/>
              <w:jc w:val="right"/>
              <w:rPr>
                <w:sz w:val="18"/>
                <w:szCs w:val="18"/>
              </w:rPr>
            </w:pPr>
            <w:r w:rsidRPr="0077640D">
              <w:rPr>
                <w:sz w:val="18"/>
                <w:szCs w:val="18"/>
              </w:rPr>
              <w:t>14,200</w:t>
            </w:r>
          </w:p>
        </w:tc>
        <w:tc>
          <w:tcPr>
            <w:tcW w:w="1080" w:type="dxa"/>
            <w:tcBorders>
              <w:top w:val="none" w:sz="6" w:space="0" w:color="auto"/>
              <w:left w:val="none" w:sz="6" w:space="0" w:color="auto"/>
              <w:bottom w:val="none" w:sz="6" w:space="0" w:color="auto"/>
              <w:right w:val="none" w:sz="6" w:space="0" w:color="auto"/>
            </w:tcBorders>
          </w:tcPr>
          <w:p w14:paraId="21EA4843" w14:textId="77777777" w:rsidR="002D368E" w:rsidRPr="0077640D" w:rsidRDefault="002D368E" w:rsidP="0077640D">
            <w:pPr>
              <w:pStyle w:val="Default"/>
              <w:spacing w:line="276" w:lineRule="auto"/>
              <w:jc w:val="right"/>
              <w:rPr>
                <w:sz w:val="18"/>
                <w:szCs w:val="18"/>
              </w:rPr>
            </w:pPr>
            <w:r w:rsidRPr="0077640D">
              <w:rPr>
                <w:sz w:val="18"/>
                <w:szCs w:val="18"/>
              </w:rPr>
              <w:t>13,733</w:t>
            </w:r>
          </w:p>
        </w:tc>
        <w:tc>
          <w:tcPr>
            <w:tcW w:w="1080" w:type="dxa"/>
            <w:tcBorders>
              <w:top w:val="none" w:sz="6" w:space="0" w:color="auto"/>
              <w:left w:val="none" w:sz="6" w:space="0" w:color="auto"/>
              <w:bottom w:val="none" w:sz="6" w:space="0" w:color="auto"/>
            </w:tcBorders>
          </w:tcPr>
          <w:p w14:paraId="33E3042A" w14:textId="12CF47BA" w:rsidR="002D368E" w:rsidRPr="0077640D" w:rsidRDefault="002D368E" w:rsidP="0077640D">
            <w:pPr>
              <w:pStyle w:val="Default"/>
              <w:spacing w:line="276" w:lineRule="auto"/>
              <w:jc w:val="right"/>
              <w:rPr>
                <w:sz w:val="18"/>
                <w:szCs w:val="18"/>
              </w:rPr>
            </w:pPr>
            <w:r w:rsidRPr="0077640D">
              <w:rPr>
                <w:sz w:val="18"/>
                <w:szCs w:val="18"/>
              </w:rPr>
              <w:t>13,</w:t>
            </w:r>
            <w:r w:rsidR="007A66DB" w:rsidRPr="0077640D">
              <w:rPr>
                <w:sz w:val="18"/>
                <w:szCs w:val="18"/>
              </w:rPr>
              <w:t>378</w:t>
            </w:r>
          </w:p>
        </w:tc>
        <w:tc>
          <w:tcPr>
            <w:tcW w:w="1170" w:type="dxa"/>
            <w:tcBorders>
              <w:top w:val="none" w:sz="6" w:space="0" w:color="auto"/>
              <w:left w:val="none" w:sz="6" w:space="0" w:color="auto"/>
              <w:bottom w:val="none" w:sz="6" w:space="0" w:color="auto"/>
            </w:tcBorders>
          </w:tcPr>
          <w:p w14:paraId="27238039" w14:textId="38802234" w:rsidR="002D368E" w:rsidRPr="0077640D" w:rsidRDefault="007A66DB" w:rsidP="0077640D">
            <w:pPr>
              <w:pStyle w:val="Default"/>
              <w:spacing w:line="276" w:lineRule="auto"/>
              <w:jc w:val="right"/>
              <w:rPr>
                <w:sz w:val="18"/>
                <w:szCs w:val="18"/>
              </w:rPr>
            </w:pPr>
            <w:r w:rsidRPr="0077640D">
              <w:rPr>
                <w:sz w:val="18"/>
                <w:szCs w:val="18"/>
              </w:rPr>
              <w:t>14,240</w:t>
            </w:r>
          </w:p>
        </w:tc>
      </w:tr>
      <w:tr w:rsidR="002D368E" w:rsidRPr="00C95AF5" w14:paraId="427D7F40" w14:textId="77777777" w:rsidTr="0077640D">
        <w:trPr>
          <w:trHeight w:val="191"/>
        </w:trPr>
        <w:tc>
          <w:tcPr>
            <w:tcW w:w="2778" w:type="dxa"/>
            <w:tcBorders>
              <w:top w:val="none" w:sz="6" w:space="0" w:color="auto"/>
              <w:bottom w:val="none" w:sz="6" w:space="0" w:color="auto"/>
              <w:right w:val="none" w:sz="6" w:space="0" w:color="auto"/>
            </w:tcBorders>
          </w:tcPr>
          <w:p w14:paraId="411E4849" w14:textId="34FF6517" w:rsidR="002D368E" w:rsidRPr="0077640D" w:rsidRDefault="005D4F09" w:rsidP="005D4F09">
            <w:pPr>
              <w:pStyle w:val="Default"/>
              <w:spacing w:line="276" w:lineRule="auto"/>
              <w:rPr>
                <w:sz w:val="18"/>
                <w:szCs w:val="18"/>
              </w:rPr>
            </w:pPr>
            <w:r w:rsidRPr="0077640D">
              <w:rPr>
                <w:b/>
                <w:bCs/>
                <w:sz w:val="18"/>
                <w:szCs w:val="18"/>
              </w:rPr>
              <w:t>Beneficiaries</w:t>
            </w:r>
          </w:p>
        </w:tc>
        <w:tc>
          <w:tcPr>
            <w:tcW w:w="1080" w:type="dxa"/>
            <w:tcBorders>
              <w:top w:val="none" w:sz="6" w:space="0" w:color="auto"/>
              <w:left w:val="none" w:sz="6" w:space="0" w:color="auto"/>
              <w:bottom w:val="none" w:sz="6" w:space="0" w:color="auto"/>
              <w:right w:val="none" w:sz="6" w:space="0" w:color="auto"/>
            </w:tcBorders>
          </w:tcPr>
          <w:p w14:paraId="41C7F847" w14:textId="77777777" w:rsidR="002D368E" w:rsidRPr="0077640D" w:rsidRDefault="002D368E" w:rsidP="0077640D">
            <w:pPr>
              <w:pStyle w:val="Default"/>
              <w:spacing w:line="276" w:lineRule="auto"/>
              <w:jc w:val="right"/>
              <w:rPr>
                <w:sz w:val="18"/>
                <w:szCs w:val="18"/>
              </w:rPr>
            </w:pPr>
            <w:r w:rsidRPr="0077640D">
              <w:rPr>
                <w:sz w:val="18"/>
                <w:szCs w:val="18"/>
              </w:rPr>
              <w:t>3,093</w:t>
            </w:r>
          </w:p>
        </w:tc>
        <w:tc>
          <w:tcPr>
            <w:tcW w:w="1080" w:type="dxa"/>
            <w:tcBorders>
              <w:top w:val="none" w:sz="6" w:space="0" w:color="auto"/>
              <w:left w:val="none" w:sz="6" w:space="0" w:color="auto"/>
              <w:bottom w:val="none" w:sz="6" w:space="0" w:color="auto"/>
              <w:right w:val="none" w:sz="6" w:space="0" w:color="auto"/>
            </w:tcBorders>
          </w:tcPr>
          <w:p w14:paraId="2F8C9AE1" w14:textId="77777777" w:rsidR="002D368E" w:rsidRPr="0077640D" w:rsidRDefault="002D368E" w:rsidP="0077640D">
            <w:pPr>
              <w:pStyle w:val="Default"/>
              <w:spacing w:line="276" w:lineRule="auto"/>
              <w:jc w:val="right"/>
              <w:rPr>
                <w:sz w:val="18"/>
                <w:szCs w:val="18"/>
              </w:rPr>
            </w:pPr>
            <w:r w:rsidRPr="0077640D">
              <w:rPr>
                <w:sz w:val="18"/>
                <w:szCs w:val="18"/>
              </w:rPr>
              <w:t>3,058</w:t>
            </w:r>
          </w:p>
        </w:tc>
        <w:tc>
          <w:tcPr>
            <w:tcW w:w="1080" w:type="dxa"/>
            <w:tcBorders>
              <w:top w:val="none" w:sz="6" w:space="0" w:color="auto"/>
              <w:left w:val="none" w:sz="6" w:space="0" w:color="auto"/>
              <w:bottom w:val="none" w:sz="6" w:space="0" w:color="auto"/>
              <w:right w:val="none" w:sz="6" w:space="0" w:color="auto"/>
            </w:tcBorders>
          </w:tcPr>
          <w:p w14:paraId="401E7079" w14:textId="77777777" w:rsidR="002D368E" w:rsidRPr="0077640D" w:rsidRDefault="002D368E" w:rsidP="0077640D">
            <w:pPr>
              <w:pStyle w:val="Default"/>
              <w:spacing w:line="276" w:lineRule="auto"/>
              <w:jc w:val="right"/>
              <w:rPr>
                <w:sz w:val="18"/>
                <w:szCs w:val="18"/>
              </w:rPr>
            </w:pPr>
            <w:r w:rsidRPr="0077640D">
              <w:rPr>
                <w:sz w:val="18"/>
                <w:szCs w:val="18"/>
              </w:rPr>
              <w:t>3,045</w:t>
            </w:r>
          </w:p>
        </w:tc>
        <w:tc>
          <w:tcPr>
            <w:tcW w:w="1080" w:type="dxa"/>
            <w:tcBorders>
              <w:top w:val="none" w:sz="6" w:space="0" w:color="auto"/>
              <w:left w:val="none" w:sz="6" w:space="0" w:color="auto"/>
              <w:bottom w:val="none" w:sz="6" w:space="0" w:color="auto"/>
              <w:right w:val="none" w:sz="6" w:space="0" w:color="auto"/>
            </w:tcBorders>
          </w:tcPr>
          <w:p w14:paraId="6ACD976A" w14:textId="77777777" w:rsidR="002D368E" w:rsidRPr="0077640D" w:rsidRDefault="002D368E" w:rsidP="0077640D">
            <w:pPr>
              <w:pStyle w:val="Default"/>
              <w:spacing w:line="276" w:lineRule="auto"/>
              <w:jc w:val="right"/>
              <w:rPr>
                <w:sz w:val="18"/>
                <w:szCs w:val="18"/>
              </w:rPr>
            </w:pPr>
            <w:r w:rsidRPr="0077640D">
              <w:rPr>
                <w:sz w:val="18"/>
                <w:szCs w:val="18"/>
              </w:rPr>
              <w:t>3,068</w:t>
            </w:r>
          </w:p>
        </w:tc>
        <w:tc>
          <w:tcPr>
            <w:tcW w:w="1080" w:type="dxa"/>
            <w:tcBorders>
              <w:top w:val="none" w:sz="6" w:space="0" w:color="auto"/>
              <w:left w:val="none" w:sz="6" w:space="0" w:color="auto"/>
              <w:bottom w:val="none" w:sz="6" w:space="0" w:color="auto"/>
            </w:tcBorders>
          </w:tcPr>
          <w:p w14:paraId="6C36A5F5" w14:textId="44D5F7E0" w:rsidR="002D368E" w:rsidRPr="0077640D" w:rsidRDefault="002D368E" w:rsidP="0077640D">
            <w:pPr>
              <w:pStyle w:val="Default"/>
              <w:spacing w:line="276" w:lineRule="auto"/>
              <w:jc w:val="right"/>
              <w:rPr>
                <w:sz w:val="18"/>
                <w:szCs w:val="18"/>
              </w:rPr>
            </w:pPr>
            <w:r w:rsidRPr="0077640D">
              <w:rPr>
                <w:sz w:val="18"/>
                <w:szCs w:val="18"/>
              </w:rPr>
              <w:t>3,</w:t>
            </w:r>
            <w:r w:rsidR="007A66DB" w:rsidRPr="0077640D">
              <w:rPr>
                <w:sz w:val="18"/>
                <w:szCs w:val="18"/>
              </w:rPr>
              <w:t>049</w:t>
            </w:r>
          </w:p>
        </w:tc>
        <w:tc>
          <w:tcPr>
            <w:tcW w:w="1170" w:type="dxa"/>
            <w:tcBorders>
              <w:top w:val="none" w:sz="6" w:space="0" w:color="auto"/>
              <w:left w:val="none" w:sz="6" w:space="0" w:color="auto"/>
              <w:bottom w:val="none" w:sz="6" w:space="0" w:color="auto"/>
            </w:tcBorders>
          </w:tcPr>
          <w:p w14:paraId="078989F0" w14:textId="565FA89D" w:rsidR="002D368E" w:rsidRPr="0077640D" w:rsidRDefault="007A66DB" w:rsidP="0077640D">
            <w:pPr>
              <w:pStyle w:val="Default"/>
              <w:spacing w:line="276" w:lineRule="auto"/>
              <w:jc w:val="right"/>
              <w:rPr>
                <w:sz w:val="18"/>
                <w:szCs w:val="18"/>
              </w:rPr>
            </w:pPr>
            <w:r w:rsidRPr="0077640D">
              <w:rPr>
                <w:sz w:val="18"/>
                <w:szCs w:val="18"/>
              </w:rPr>
              <w:t>3,144</w:t>
            </w:r>
          </w:p>
        </w:tc>
      </w:tr>
      <w:tr w:rsidR="002D368E" w:rsidRPr="00C95AF5" w14:paraId="2549D7F1" w14:textId="77777777" w:rsidTr="0077640D">
        <w:trPr>
          <w:trHeight w:val="201"/>
        </w:trPr>
        <w:tc>
          <w:tcPr>
            <w:tcW w:w="2778" w:type="dxa"/>
            <w:tcBorders>
              <w:top w:val="none" w:sz="6" w:space="0" w:color="auto"/>
              <w:bottom w:val="none" w:sz="6" w:space="0" w:color="auto"/>
              <w:right w:val="none" w:sz="6" w:space="0" w:color="auto"/>
            </w:tcBorders>
          </w:tcPr>
          <w:p w14:paraId="5B31FC9E" w14:textId="77777777" w:rsidR="006C1ED7" w:rsidRPr="0077640D" w:rsidRDefault="006C1ED7" w:rsidP="002D368E">
            <w:pPr>
              <w:pStyle w:val="Default"/>
              <w:spacing w:line="276" w:lineRule="auto"/>
              <w:rPr>
                <w:b/>
                <w:bCs/>
                <w:sz w:val="18"/>
                <w:szCs w:val="18"/>
              </w:rPr>
            </w:pPr>
          </w:p>
          <w:p w14:paraId="63878387" w14:textId="1FF6D40F" w:rsidR="002D368E" w:rsidRPr="0077640D" w:rsidRDefault="002D368E" w:rsidP="002D368E">
            <w:pPr>
              <w:pStyle w:val="Default"/>
              <w:spacing w:line="276" w:lineRule="auto"/>
              <w:rPr>
                <w:sz w:val="18"/>
                <w:szCs w:val="18"/>
              </w:rPr>
            </w:pPr>
            <w:r w:rsidRPr="0077640D">
              <w:rPr>
                <w:b/>
                <w:bCs/>
                <w:sz w:val="18"/>
                <w:szCs w:val="18"/>
              </w:rPr>
              <w:t>Non-Active / Active Ratio</w:t>
            </w:r>
          </w:p>
        </w:tc>
        <w:tc>
          <w:tcPr>
            <w:tcW w:w="1080" w:type="dxa"/>
            <w:tcBorders>
              <w:top w:val="none" w:sz="6" w:space="0" w:color="auto"/>
              <w:left w:val="none" w:sz="6" w:space="0" w:color="auto"/>
              <w:bottom w:val="none" w:sz="6" w:space="0" w:color="auto"/>
              <w:right w:val="none" w:sz="6" w:space="0" w:color="auto"/>
            </w:tcBorders>
          </w:tcPr>
          <w:p w14:paraId="7463E813" w14:textId="77777777" w:rsidR="006C1ED7" w:rsidRPr="0077640D" w:rsidRDefault="006C1ED7" w:rsidP="0077640D">
            <w:pPr>
              <w:pStyle w:val="Default"/>
              <w:spacing w:line="276" w:lineRule="auto"/>
              <w:jc w:val="right"/>
              <w:rPr>
                <w:sz w:val="18"/>
                <w:szCs w:val="18"/>
              </w:rPr>
            </w:pPr>
          </w:p>
          <w:p w14:paraId="60CDC49B" w14:textId="3400FE27" w:rsidR="002D368E" w:rsidRPr="0077640D" w:rsidRDefault="002D368E" w:rsidP="0077640D">
            <w:pPr>
              <w:pStyle w:val="Default"/>
              <w:spacing w:line="276" w:lineRule="auto"/>
              <w:jc w:val="right"/>
              <w:rPr>
                <w:sz w:val="18"/>
                <w:szCs w:val="18"/>
              </w:rPr>
            </w:pPr>
            <w:r w:rsidRPr="0077640D">
              <w:rPr>
                <w:sz w:val="18"/>
                <w:szCs w:val="18"/>
              </w:rPr>
              <w:t>5.10</w:t>
            </w:r>
            <w:r w:rsidR="005D4F09" w:rsidRPr="00C95AF5">
              <w:rPr>
                <w:sz w:val="18"/>
                <w:szCs w:val="18"/>
              </w:rPr>
              <w:t xml:space="preserve"> </w:t>
            </w:r>
            <w:r w:rsidRPr="0077640D">
              <w:rPr>
                <w:sz w:val="18"/>
                <w:szCs w:val="18"/>
              </w:rPr>
              <w:t>/</w:t>
            </w:r>
            <w:r w:rsidR="005D4F09" w:rsidRPr="00C95AF5">
              <w:rPr>
                <w:sz w:val="18"/>
                <w:szCs w:val="18"/>
              </w:rPr>
              <w:t xml:space="preserve"> </w:t>
            </w:r>
            <w:r w:rsidRPr="0077640D">
              <w:rPr>
                <w:sz w:val="18"/>
                <w:szCs w:val="18"/>
              </w:rPr>
              <w:t>1</w:t>
            </w:r>
          </w:p>
        </w:tc>
        <w:tc>
          <w:tcPr>
            <w:tcW w:w="1080" w:type="dxa"/>
            <w:tcBorders>
              <w:top w:val="none" w:sz="6" w:space="0" w:color="auto"/>
              <w:left w:val="none" w:sz="6" w:space="0" w:color="auto"/>
              <w:bottom w:val="none" w:sz="6" w:space="0" w:color="auto"/>
              <w:right w:val="none" w:sz="6" w:space="0" w:color="auto"/>
            </w:tcBorders>
          </w:tcPr>
          <w:p w14:paraId="2A5EF191" w14:textId="77777777" w:rsidR="006C1ED7" w:rsidRPr="0077640D" w:rsidRDefault="006C1ED7" w:rsidP="0077640D">
            <w:pPr>
              <w:pStyle w:val="Default"/>
              <w:spacing w:line="276" w:lineRule="auto"/>
              <w:jc w:val="right"/>
              <w:rPr>
                <w:sz w:val="18"/>
                <w:szCs w:val="18"/>
              </w:rPr>
            </w:pPr>
          </w:p>
          <w:p w14:paraId="50FC6418" w14:textId="5F932204" w:rsidR="002D368E" w:rsidRPr="0077640D" w:rsidRDefault="002D368E" w:rsidP="0077640D">
            <w:pPr>
              <w:pStyle w:val="Default"/>
              <w:spacing w:line="276" w:lineRule="auto"/>
              <w:jc w:val="right"/>
              <w:rPr>
                <w:sz w:val="18"/>
                <w:szCs w:val="18"/>
              </w:rPr>
            </w:pPr>
            <w:r w:rsidRPr="0077640D">
              <w:rPr>
                <w:sz w:val="18"/>
                <w:szCs w:val="18"/>
              </w:rPr>
              <w:t>6.</w:t>
            </w:r>
            <w:r w:rsidR="007A66DB" w:rsidRPr="0077640D">
              <w:rPr>
                <w:sz w:val="18"/>
                <w:szCs w:val="18"/>
              </w:rPr>
              <w:t>64</w:t>
            </w:r>
            <w:r w:rsidR="005D4F09" w:rsidRPr="00C95AF5">
              <w:rPr>
                <w:sz w:val="18"/>
                <w:szCs w:val="18"/>
              </w:rPr>
              <w:t xml:space="preserve"> </w:t>
            </w:r>
            <w:r w:rsidRPr="0077640D">
              <w:rPr>
                <w:sz w:val="18"/>
                <w:szCs w:val="18"/>
              </w:rPr>
              <w:t>/</w:t>
            </w:r>
            <w:r w:rsidR="005D4F09" w:rsidRPr="00C95AF5">
              <w:rPr>
                <w:sz w:val="18"/>
                <w:szCs w:val="18"/>
              </w:rPr>
              <w:t xml:space="preserve"> </w:t>
            </w:r>
            <w:r w:rsidRPr="0077640D">
              <w:rPr>
                <w:sz w:val="18"/>
                <w:szCs w:val="18"/>
              </w:rPr>
              <w:t>1</w:t>
            </w:r>
          </w:p>
        </w:tc>
        <w:tc>
          <w:tcPr>
            <w:tcW w:w="1080" w:type="dxa"/>
            <w:tcBorders>
              <w:top w:val="none" w:sz="6" w:space="0" w:color="auto"/>
              <w:left w:val="none" w:sz="6" w:space="0" w:color="auto"/>
              <w:bottom w:val="none" w:sz="6" w:space="0" w:color="auto"/>
              <w:right w:val="none" w:sz="6" w:space="0" w:color="auto"/>
            </w:tcBorders>
          </w:tcPr>
          <w:p w14:paraId="0911FA0F" w14:textId="77777777" w:rsidR="006C1ED7" w:rsidRPr="0077640D" w:rsidRDefault="006C1ED7" w:rsidP="0077640D">
            <w:pPr>
              <w:pStyle w:val="Default"/>
              <w:spacing w:line="276" w:lineRule="auto"/>
              <w:jc w:val="right"/>
              <w:rPr>
                <w:sz w:val="18"/>
                <w:szCs w:val="18"/>
              </w:rPr>
            </w:pPr>
          </w:p>
          <w:p w14:paraId="7D98DB3C" w14:textId="0BEC390A" w:rsidR="002D368E" w:rsidRPr="0077640D" w:rsidRDefault="002D368E" w:rsidP="0077640D">
            <w:pPr>
              <w:pStyle w:val="Default"/>
              <w:spacing w:line="276" w:lineRule="auto"/>
              <w:jc w:val="right"/>
              <w:rPr>
                <w:sz w:val="18"/>
                <w:szCs w:val="18"/>
              </w:rPr>
            </w:pPr>
            <w:r w:rsidRPr="0077640D">
              <w:rPr>
                <w:sz w:val="18"/>
                <w:szCs w:val="18"/>
              </w:rPr>
              <w:t>7.29</w:t>
            </w:r>
            <w:r w:rsidR="005D4F09" w:rsidRPr="00C95AF5">
              <w:rPr>
                <w:sz w:val="18"/>
                <w:szCs w:val="18"/>
              </w:rPr>
              <w:t xml:space="preserve"> </w:t>
            </w:r>
            <w:r w:rsidRPr="0077640D">
              <w:rPr>
                <w:sz w:val="18"/>
                <w:szCs w:val="18"/>
              </w:rPr>
              <w:t>/</w:t>
            </w:r>
            <w:r w:rsidR="005D4F09" w:rsidRPr="00C95AF5">
              <w:rPr>
                <w:sz w:val="18"/>
                <w:szCs w:val="18"/>
              </w:rPr>
              <w:t xml:space="preserve"> </w:t>
            </w:r>
            <w:r w:rsidRPr="0077640D">
              <w:rPr>
                <w:sz w:val="18"/>
                <w:szCs w:val="18"/>
              </w:rPr>
              <w:t>1</w:t>
            </w:r>
          </w:p>
        </w:tc>
        <w:tc>
          <w:tcPr>
            <w:tcW w:w="1080" w:type="dxa"/>
            <w:tcBorders>
              <w:top w:val="none" w:sz="6" w:space="0" w:color="auto"/>
              <w:left w:val="none" w:sz="6" w:space="0" w:color="auto"/>
              <w:bottom w:val="none" w:sz="6" w:space="0" w:color="auto"/>
              <w:right w:val="none" w:sz="6" w:space="0" w:color="auto"/>
            </w:tcBorders>
          </w:tcPr>
          <w:p w14:paraId="1E190977" w14:textId="77777777" w:rsidR="006C1ED7" w:rsidRPr="0077640D" w:rsidRDefault="006C1ED7" w:rsidP="0077640D">
            <w:pPr>
              <w:pStyle w:val="Default"/>
              <w:spacing w:line="276" w:lineRule="auto"/>
              <w:jc w:val="right"/>
              <w:rPr>
                <w:sz w:val="18"/>
                <w:szCs w:val="18"/>
              </w:rPr>
            </w:pPr>
          </w:p>
          <w:p w14:paraId="6C1F89ED" w14:textId="2315BE63" w:rsidR="002D368E" w:rsidRPr="0077640D" w:rsidRDefault="002D368E" w:rsidP="0077640D">
            <w:pPr>
              <w:pStyle w:val="Default"/>
              <w:spacing w:line="276" w:lineRule="auto"/>
              <w:jc w:val="right"/>
              <w:rPr>
                <w:sz w:val="18"/>
                <w:szCs w:val="18"/>
              </w:rPr>
            </w:pPr>
            <w:r w:rsidRPr="0077640D">
              <w:rPr>
                <w:sz w:val="18"/>
                <w:szCs w:val="18"/>
              </w:rPr>
              <w:t>7.99</w:t>
            </w:r>
            <w:r w:rsidR="005D4F09" w:rsidRPr="00C95AF5">
              <w:rPr>
                <w:sz w:val="18"/>
                <w:szCs w:val="18"/>
              </w:rPr>
              <w:t xml:space="preserve"> </w:t>
            </w:r>
            <w:r w:rsidRPr="0077640D">
              <w:rPr>
                <w:sz w:val="18"/>
                <w:szCs w:val="18"/>
              </w:rPr>
              <w:t>/</w:t>
            </w:r>
            <w:r w:rsidR="005D4F09" w:rsidRPr="00C95AF5">
              <w:rPr>
                <w:sz w:val="18"/>
                <w:szCs w:val="18"/>
              </w:rPr>
              <w:t xml:space="preserve"> </w:t>
            </w:r>
            <w:r w:rsidRPr="0077640D">
              <w:rPr>
                <w:sz w:val="18"/>
                <w:szCs w:val="18"/>
              </w:rPr>
              <w:t>1</w:t>
            </w:r>
          </w:p>
        </w:tc>
        <w:tc>
          <w:tcPr>
            <w:tcW w:w="1080" w:type="dxa"/>
            <w:tcBorders>
              <w:top w:val="none" w:sz="6" w:space="0" w:color="auto"/>
              <w:left w:val="none" w:sz="6" w:space="0" w:color="auto"/>
              <w:bottom w:val="none" w:sz="6" w:space="0" w:color="auto"/>
            </w:tcBorders>
          </w:tcPr>
          <w:p w14:paraId="2D72F22B" w14:textId="77777777" w:rsidR="006C1ED7" w:rsidRPr="0077640D" w:rsidRDefault="006C1ED7" w:rsidP="0077640D">
            <w:pPr>
              <w:pStyle w:val="Default"/>
              <w:spacing w:line="276" w:lineRule="auto"/>
              <w:jc w:val="right"/>
              <w:rPr>
                <w:sz w:val="18"/>
                <w:szCs w:val="18"/>
              </w:rPr>
            </w:pPr>
          </w:p>
          <w:p w14:paraId="10FB3021" w14:textId="2A8CE4E5" w:rsidR="002D368E" w:rsidRPr="0077640D" w:rsidRDefault="002D368E" w:rsidP="0077640D">
            <w:pPr>
              <w:pStyle w:val="Default"/>
              <w:spacing w:line="276" w:lineRule="auto"/>
              <w:jc w:val="right"/>
              <w:rPr>
                <w:sz w:val="18"/>
                <w:szCs w:val="18"/>
              </w:rPr>
            </w:pPr>
            <w:r w:rsidRPr="0077640D">
              <w:rPr>
                <w:sz w:val="18"/>
                <w:szCs w:val="18"/>
              </w:rPr>
              <w:t>7.</w:t>
            </w:r>
            <w:r w:rsidR="007A66DB" w:rsidRPr="0077640D">
              <w:rPr>
                <w:sz w:val="18"/>
                <w:szCs w:val="18"/>
              </w:rPr>
              <w:t>29</w:t>
            </w:r>
            <w:r w:rsidR="005D4F09" w:rsidRPr="00C95AF5">
              <w:rPr>
                <w:sz w:val="18"/>
                <w:szCs w:val="18"/>
              </w:rPr>
              <w:t xml:space="preserve"> </w:t>
            </w:r>
            <w:r w:rsidRPr="0077640D">
              <w:rPr>
                <w:sz w:val="18"/>
                <w:szCs w:val="18"/>
              </w:rPr>
              <w:t>/</w:t>
            </w:r>
            <w:r w:rsidR="005D4F09" w:rsidRPr="00C95AF5">
              <w:rPr>
                <w:sz w:val="18"/>
                <w:szCs w:val="18"/>
              </w:rPr>
              <w:t xml:space="preserve"> </w:t>
            </w:r>
            <w:r w:rsidRPr="0077640D">
              <w:rPr>
                <w:sz w:val="18"/>
                <w:szCs w:val="18"/>
              </w:rPr>
              <w:t>1</w:t>
            </w:r>
          </w:p>
        </w:tc>
        <w:tc>
          <w:tcPr>
            <w:tcW w:w="1170" w:type="dxa"/>
            <w:tcBorders>
              <w:top w:val="none" w:sz="6" w:space="0" w:color="auto"/>
              <w:left w:val="none" w:sz="6" w:space="0" w:color="auto"/>
              <w:bottom w:val="none" w:sz="6" w:space="0" w:color="auto"/>
            </w:tcBorders>
          </w:tcPr>
          <w:p w14:paraId="5D53410B" w14:textId="77777777" w:rsidR="002D368E" w:rsidRPr="0077640D" w:rsidRDefault="002D368E" w:rsidP="0077640D">
            <w:pPr>
              <w:pStyle w:val="Default"/>
              <w:spacing w:line="276" w:lineRule="auto"/>
              <w:jc w:val="right"/>
              <w:rPr>
                <w:sz w:val="18"/>
                <w:szCs w:val="18"/>
              </w:rPr>
            </w:pPr>
          </w:p>
          <w:p w14:paraId="0F720C2D" w14:textId="088D70CD" w:rsidR="007A66DB" w:rsidRPr="0077640D" w:rsidRDefault="007A66DB" w:rsidP="0077640D">
            <w:pPr>
              <w:pStyle w:val="Default"/>
              <w:spacing w:line="276" w:lineRule="auto"/>
              <w:jc w:val="right"/>
              <w:rPr>
                <w:sz w:val="18"/>
                <w:szCs w:val="18"/>
              </w:rPr>
            </w:pPr>
            <w:r w:rsidRPr="0077640D">
              <w:rPr>
                <w:sz w:val="18"/>
                <w:szCs w:val="18"/>
              </w:rPr>
              <w:t>7.95</w:t>
            </w:r>
            <w:r w:rsidR="005D4F09" w:rsidRPr="00C95AF5">
              <w:rPr>
                <w:sz w:val="18"/>
                <w:szCs w:val="18"/>
              </w:rPr>
              <w:t xml:space="preserve"> </w:t>
            </w:r>
            <w:r w:rsidRPr="0077640D">
              <w:rPr>
                <w:sz w:val="18"/>
                <w:szCs w:val="18"/>
              </w:rPr>
              <w:t>/</w:t>
            </w:r>
            <w:r w:rsidR="005D4F09" w:rsidRPr="00C95AF5">
              <w:rPr>
                <w:sz w:val="18"/>
                <w:szCs w:val="18"/>
              </w:rPr>
              <w:t xml:space="preserve"> </w:t>
            </w:r>
            <w:r w:rsidRPr="0077640D">
              <w:rPr>
                <w:sz w:val="18"/>
                <w:szCs w:val="18"/>
              </w:rPr>
              <w:t>1</w:t>
            </w:r>
          </w:p>
        </w:tc>
      </w:tr>
    </w:tbl>
    <w:p w14:paraId="01DBB504" w14:textId="77777777" w:rsidR="004C5F6E" w:rsidRPr="00C95AF5" w:rsidRDefault="004C5F6E" w:rsidP="002D368E">
      <w:pPr>
        <w:spacing w:line="276" w:lineRule="auto"/>
        <w:rPr>
          <w:b/>
          <w:bCs/>
        </w:rPr>
      </w:pPr>
    </w:p>
    <w:p w14:paraId="5BE92ACB" w14:textId="77777777" w:rsidR="004C5F6E" w:rsidRPr="00C95AF5" w:rsidRDefault="004C5F6E" w:rsidP="002D368E">
      <w:pPr>
        <w:spacing w:line="276" w:lineRule="auto"/>
        <w:rPr>
          <w:b/>
          <w:bCs/>
        </w:rPr>
      </w:pPr>
      <w:r w:rsidRPr="00C95AF5">
        <w:rPr>
          <w:b/>
          <w:bCs/>
        </w:rPr>
        <w:t>Lower Investment Returns</w:t>
      </w:r>
    </w:p>
    <w:p w14:paraId="187AABEE" w14:textId="52476B1E" w:rsidR="004C5F6E" w:rsidRPr="00C95AF5" w:rsidRDefault="004C5F6E" w:rsidP="002D368E">
      <w:pPr>
        <w:spacing w:line="276" w:lineRule="auto"/>
        <w:rPr>
          <w:b/>
          <w:bCs/>
        </w:rPr>
      </w:pPr>
      <w:r w:rsidRPr="00626C12">
        <w:t xml:space="preserve">To make up for the annual </w:t>
      </w:r>
      <w:r w:rsidR="005D4F09" w:rsidRPr="00626C12">
        <w:t xml:space="preserve">cash flow </w:t>
      </w:r>
      <w:r w:rsidRPr="00626C12">
        <w:t xml:space="preserve">shortfall, the Plan's investments would have to earn over </w:t>
      </w:r>
      <w:r w:rsidR="007A66DB" w:rsidRPr="00626C12">
        <w:t>13.1</w:t>
      </w:r>
      <w:r w:rsidRPr="00626C12">
        <w:t>%</w:t>
      </w:r>
      <w:r w:rsidRPr="00C95AF5">
        <w:t xml:space="preserve"> each year, which is not attainable. </w:t>
      </w:r>
      <w:r w:rsidR="00EC26B3" w:rsidRPr="00C95AF5">
        <w:t xml:space="preserve">For comparison, over </w:t>
      </w:r>
      <w:r w:rsidRPr="00C95AF5">
        <w:t xml:space="preserve">the last </w:t>
      </w:r>
      <w:r w:rsidR="00E21E20" w:rsidRPr="00C95AF5">
        <w:t>ten</w:t>
      </w:r>
      <w:r w:rsidRPr="00C95AF5">
        <w:t xml:space="preserve"> years, our average annual investment return </w:t>
      </w:r>
      <w:r w:rsidR="00E21E20" w:rsidRPr="00C95AF5">
        <w:t>has been</w:t>
      </w:r>
      <w:r w:rsidR="00EC26B3" w:rsidRPr="00C95AF5">
        <w:t xml:space="preserve"> about</w:t>
      </w:r>
      <w:r w:rsidR="00E21E20" w:rsidRPr="00C95AF5">
        <w:t xml:space="preserve"> </w:t>
      </w:r>
      <w:r w:rsidR="00E21E20" w:rsidRPr="0077640D">
        <w:t>7</w:t>
      </w:r>
      <w:r w:rsidRPr="0077640D">
        <w:t>%</w:t>
      </w:r>
      <w:r w:rsidRPr="00C95AF5">
        <w:t xml:space="preserve">. </w:t>
      </w:r>
      <w:r w:rsidR="00F71403" w:rsidRPr="00C95AF5">
        <w:t>If significant changes are not made now, th</w:t>
      </w:r>
      <w:r w:rsidRPr="00C95AF5">
        <w:t xml:space="preserve">e Plan </w:t>
      </w:r>
      <w:r w:rsidR="00E21E20" w:rsidRPr="00C95AF5">
        <w:t xml:space="preserve">will have to terminate </w:t>
      </w:r>
      <w:r w:rsidRPr="00C95AF5">
        <w:t xml:space="preserve">in </w:t>
      </w:r>
      <w:r w:rsidR="006C1ED7" w:rsidRPr="00C95AF5">
        <w:t>less than</w:t>
      </w:r>
      <w:r w:rsidRPr="00C95AF5">
        <w:t xml:space="preserve"> </w:t>
      </w:r>
      <w:r w:rsidR="0090344A" w:rsidRPr="00C95AF5">
        <w:t>ten</w:t>
      </w:r>
      <w:r w:rsidRPr="00C95AF5">
        <w:t xml:space="preserve"> years</w:t>
      </w:r>
      <w:r w:rsidR="00F71403" w:rsidRPr="00C95AF5">
        <w:t>.</w:t>
      </w:r>
      <w:r w:rsidRPr="00C95AF5">
        <w:t xml:space="preserve"> If </w:t>
      </w:r>
      <w:r w:rsidR="001D54F5" w:rsidRPr="00C95AF5">
        <w:t xml:space="preserve">the </w:t>
      </w:r>
      <w:r w:rsidR="0090344A" w:rsidRPr="00C95AF5">
        <w:t xml:space="preserve">Plan is unable to earn the assumed investment rate of return, </w:t>
      </w:r>
      <w:r w:rsidRPr="00C95AF5">
        <w:t xml:space="preserve">the </w:t>
      </w:r>
      <w:r w:rsidR="0090344A" w:rsidRPr="00C95AF5">
        <w:t xml:space="preserve">TMRP </w:t>
      </w:r>
      <w:r w:rsidRPr="00C95AF5">
        <w:t xml:space="preserve">could </w:t>
      </w:r>
      <w:r w:rsidR="00E21E20" w:rsidRPr="00C95AF5">
        <w:t>have to terminate even s</w:t>
      </w:r>
      <w:r w:rsidRPr="00C95AF5">
        <w:t>ooner.</w:t>
      </w:r>
    </w:p>
    <w:p w14:paraId="3B07272F" w14:textId="4E4A1E25" w:rsidR="004C5F6E" w:rsidRPr="00C95AF5" w:rsidRDefault="004403FC" w:rsidP="0077640D">
      <w:pPr>
        <w:spacing w:line="276" w:lineRule="auto"/>
        <w:jc w:val="center"/>
        <w:rPr>
          <w:b/>
          <w:bCs/>
        </w:rPr>
      </w:pPr>
      <w:r w:rsidRPr="0077640D">
        <w:rPr>
          <w:b/>
          <w:bCs/>
          <w:sz w:val="28"/>
          <w:szCs w:val="24"/>
        </w:rPr>
        <w:t>NECESSARY</w:t>
      </w:r>
      <w:r w:rsidR="004C5F6E" w:rsidRPr="0077640D">
        <w:rPr>
          <w:b/>
          <w:bCs/>
          <w:sz w:val="28"/>
          <w:szCs w:val="24"/>
        </w:rPr>
        <w:t xml:space="preserve"> </w:t>
      </w:r>
      <w:r w:rsidR="000A536F" w:rsidRPr="0077640D">
        <w:rPr>
          <w:b/>
          <w:bCs/>
          <w:sz w:val="28"/>
          <w:szCs w:val="24"/>
        </w:rPr>
        <w:t xml:space="preserve">BENEFIT </w:t>
      </w:r>
      <w:r w:rsidR="004C5F6E" w:rsidRPr="0077640D">
        <w:rPr>
          <w:b/>
          <w:bCs/>
          <w:sz w:val="28"/>
          <w:szCs w:val="24"/>
        </w:rPr>
        <w:t>CHANGES</w:t>
      </w:r>
      <w:r w:rsidRPr="0077640D">
        <w:rPr>
          <w:b/>
          <w:bCs/>
          <w:sz w:val="28"/>
          <w:szCs w:val="24"/>
        </w:rPr>
        <w:t xml:space="preserve"> - PROPOSED</w:t>
      </w:r>
    </w:p>
    <w:p w14:paraId="5288247A" w14:textId="634E1E4E" w:rsidR="00F962D7" w:rsidRPr="00C95AF5" w:rsidRDefault="004C5F6E" w:rsidP="002D368E">
      <w:pPr>
        <w:spacing w:line="276" w:lineRule="auto"/>
      </w:pPr>
      <w:r w:rsidRPr="00C95AF5">
        <w:t>The Trustees have worked with our</w:t>
      </w:r>
      <w:r w:rsidR="00F962D7" w:rsidRPr="00C95AF5">
        <w:rPr>
          <w:rFonts w:eastAsia="Times New Roman" w:cs="Times New Roman"/>
          <w:color w:val="282828"/>
          <w:szCs w:val="24"/>
        </w:rPr>
        <w:t xml:space="preserve"> </w:t>
      </w:r>
      <w:r w:rsidR="00F962D7" w:rsidRPr="00C95AF5">
        <w:t>actuaries, auditors, and investment advisors</w:t>
      </w:r>
      <w:r w:rsidRPr="00C95AF5">
        <w:t xml:space="preserve"> to develop a solution for saving our lifetime pension benefits that has the smallest possible impact on our members</w:t>
      </w:r>
      <w:r w:rsidR="00E21E20" w:rsidRPr="00C95AF5">
        <w:t xml:space="preserve"> while ensuring the future of the Plan</w:t>
      </w:r>
      <w:r w:rsidRPr="00C95AF5">
        <w:t xml:space="preserve">. </w:t>
      </w:r>
      <w:r w:rsidR="00F962D7" w:rsidRPr="00C95AF5">
        <w:t xml:space="preserve">All members - active, terminated vested, disability pensioners, retirees, and spouses receiving benefits will share in the cost of saving our Plan. </w:t>
      </w:r>
      <w:r w:rsidRPr="00C95AF5">
        <w:t>Th</w:t>
      </w:r>
      <w:r w:rsidR="00F962D7" w:rsidRPr="00C95AF5">
        <w:t>e</w:t>
      </w:r>
      <w:r w:rsidRPr="00C95AF5">
        <w:t xml:space="preserve"> solution is designed to result in a </w:t>
      </w:r>
      <w:r w:rsidR="004E2419" w:rsidRPr="00C95AF5">
        <w:rPr>
          <w:b/>
          <w:bCs/>
        </w:rPr>
        <w:t>10</w:t>
      </w:r>
      <w:r w:rsidRPr="00C95AF5">
        <w:rPr>
          <w:b/>
          <w:bCs/>
        </w:rPr>
        <w:t>0% funding level</w:t>
      </w:r>
      <w:r w:rsidRPr="00C95AF5">
        <w:t xml:space="preserve">. </w:t>
      </w:r>
    </w:p>
    <w:p w14:paraId="7FCA0A95" w14:textId="2E44120D" w:rsidR="006C1ED7" w:rsidRPr="00C95AF5" w:rsidRDefault="006C1ED7" w:rsidP="002D368E">
      <w:pPr>
        <w:spacing w:line="276" w:lineRule="auto"/>
      </w:pPr>
      <w:r w:rsidRPr="00C95AF5">
        <w:t xml:space="preserve">Why are we proposing reducing benefits to bring the Plan to a 100% funding level?  A 100% funding level </w:t>
      </w:r>
      <w:r w:rsidR="003C1FB5" w:rsidRPr="00C95AF5">
        <w:t>means that</w:t>
      </w:r>
      <w:r w:rsidRPr="00C95AF5">
        <w:t xml:space="preserve"> </w:t>
      </w:r>
      <w:r w:rsidR="0029616B" w:rsidRPr="00C95AF5">
        <w:t xml:space="preserve">total </w:t>
      </w:r>
      <w:r w:rsidR="003C1FB5" w:rsidRPr="00C95AF5">
        <w:t xml:space="preserve">projected </w:t>
      </w:r>
      <w:r w:rsidRPr="00C95AF5">
        <w:t xml:space="preserve">benefit payments </w:t>
      </w:r>
      <w:r w:rsidR="003C1FB5" w:rsidRPr="00C95AF5">
        <w:t xml:space="preserve">are equal to Plan </w:t>
      </w:r>
      <w:r w:rsidRPr="00C95AF5">
        <w:t>assets and investment return</w:t>
      </w:r>
      <w:r w:rsidR="003C1FB5" w:rsidRPr="00C95AF5">
        <w:t>. 100% funding is therefore</w:t>
      </w:r>
      <w:r w:rsidRPr="00C95AF5">
        <w:t xml:space="preserve"> the best course of action to continue pay</w:t>
      </w:r>
      <w:r w:rsidR="003C1FB5" w:rsidRPr="00C95AF5">
        <w:t>ing</w:t>
      </w:r>
      <w:r w:rsidRPr="00C95AF5">
        <w:t xml:space="preserve"> lifetime benefits without having to make benefit reductions in the future.  Bringing</w:t>
      </w:r>
      <w:r w:rsidR="00E1118C" w:rsidRPr="00C95AF5">
        <w:t xml:space="preserve"> the Plan to a 100% funding level also takes the need to grow the Plan’s active </w:t>
      </w:r>
      <w:r w:rsidR="00BE508F" w:rsidRPr="00C95AF5">
        <w:t>member</w:t>
      </w:r>
      <w:r w:rsidR="00E1118C" w:rsidRPr="00C95AF5">
        <w:t xml:space="preserve"> base out of the equation.  At a 100% funding level, the Plan will be able to make all promised lifetime benefit payments without making further benefit cuts </w:t>
      </w:r>
      <w:r w:rsidR="0029616B" w:rsidRPr="00C95AF5">
        <w:t>provided</w:t>
      </w:r>
      <w:r w:rsidR="00E1118C" w:rsidRPr="00C95AF5">
        <w:t xml:space="preserve"> the Plan’s invest</w:t>
      </w:r>
      <w:r w:rsidR="0029616B" w:rsidRPr="00C95AF5">
        <w:t>ed</w:t>
      </w:r>
      <w:r w:rsidR="00E1118C" w:rsidRPr="00C95AF5">
        <w:t xml:space="preserve"> assets earn the Plan’s assumed rate of return </w:t>
      </w:r>
      <w:r w:rsidR="0029616B" w:rsidRPr="00C95AF5">
        <w:t>(</w:t>
      </w:r>
      <w:r w:rsidR="00E1118C" w:rsidRPr="00C95AF5">
        <w:t>even</w:t>
      </w:r>
      <w:r w:rsidR="0029616B" w:rsidRPr="00C95AF5">
        <w:t xml:space="preserve"> with</w:t>
      </w:r>
      <w:r w:rsidR="00E1118C" w:rsidRPr="00C95AF5">
        <w:t xml:space="preserve"> no new </w:t>
      </w:r>
      <w:r w:rsidR="00BE508F" w:rsidRPr="00C95AF5">
        <w:t>member</w:t>
      </w:r>
      <w:r w:rsidR="00E1118C" w:rsidRPr="00C95AF5">
        <w:t>s</w:t>
      </w:r>
      <w:r w:rsidR="0029616B" w:rsidRPr="00C95AF5">
        <w:t>)</w:t>
      </w:r>
      <w:r w:rsidR="00E1118C" w:rsidRPr="00C95AF5">
        <w:t xml:space="preserve">.  If new </w:t>
      </w:r>
      <w:r w:rsidR="00BE508F" w:rsidRPr="00C95AF5">
        <w:t>member</w:t>
      </w:r>
      <w:r w:rsidR="00E1118C" w:rsidRPr="00C95AF5">
        <w:t xml:space="preserve">s join the Plan, that will </w:t>
      </w:r>
      <w:r w:rsidR="0029616B" w:rsidRPr="00C95AF5">
        <w:t xml:space="preserve">further </w:t>
      </w:r>
      <w:r w:rsidR="00E1118C" w:rsidRPr="00C95AF5">
        <w:t>improve the Plan’s funding.</w:t>
      </w:r>
      <w:r w:rsidRPr="00C95AF5">
        <w:t xml:space="preserve"> </w:t>
      </w:r>
      <w:proofErr w:type="gramStart"/>
      <w:r w:rsidR="00AA186D" w:rsidRPr="00C95AF5">
        <w:t>In order to</w:t>
      </w:r>
      <w:proofErr w:type="gramEnd"/>
      <w:r w:rsidR="00AA186D" w:rsidRPr="00C95AF5">
        <w:t xml:space="preserve"> bring the Plan to a 100% funding level and give the Plan its best chance to continue lifetime benefit payments without additional benefit cuts, </w:t>
      </w:r>
      <w:r w:rsidR="006A76CF" w:rsidRPr="00C95AF5">
        <w:t xml:space="preserve">however, </w:t>
      </w:r>
      <w:r w:rsidR="00AA186D" w:rsidRPr="00C95AF5">
        <w:t xml:space="preserve">the benefits </w:t>
      </w:r>
      <w:r w:rsidR="006A76CF" w:rsidRPr="00C95AF5">
        <w:t>need to be significantly reduced effective January 1, 2024.</w:t>
      </w:r>
    </w:p>
    <w:p w14:paraId="1E2BDB5F" w14:textId="4BEC4CDD" w:rsidR="004C5F6E" w:rsidRPr="00C95AF5" w:rsidRDefault="004C5F6E" w:rsidP="002D368E">
      <w:pPr>
        <w:spacing w:line="276" w:lineRule="auto"/>
        <w:rPr>
          <w:b/>
          <w:bCs/>
        </w:rPr>
      </w:pPr>
      <w:r w:rsidRPr="00C95AF5">
        <w:t>We propose the following changes starting January 1, 2024:</w:t>
      </w:r>
    </w:p>
    <w:p w14:paraId="138B9A6A" w14:textId="77777777" w:rsidR="004C5F6E" w:rsidRPr="00C95AF5" w:rsidRDefault="004C5F6E" w:rsidP="002D368E">
      <w:pPr>
        <w:spacing w:line="276" w:lineRule="auto"/>
        <w:rPr>
          <w:b/>
          <w:bCs/>
        </w:rPr>
      </w:pPr>
      <w:r w:rsidRPr="00C95AF5">
        <w:rPr>
          <w:b/>
          <w:bCs/>
        </w:rPr>
        <w:lastRenderedPageBreak/>
        <w:t>Active Members</w:t>
      </w:r>
    </w:p>
    <w:p w14:paraId="2C4A802E" w14:textId="18E534F8" w:rsidR="00EC26B3" w:rsidRPr="0077640D" w:rsidRDefault="005304ED" w:rsidP="00EC26B3">
      <w:pPr>
        <w:pStyle w:val="ListBullet"/>
        <w:rPr>
          <w:b/>
          <w:bCs/>
        </w:rPr>
      </w:pPr>
      <w:r w:rsidRPr="00C95AF5">
        <w:rPr>
          <w:u w:val="single"/>
        </w:rPr>
        <w:t xml:space="preserve">Reduced </w:t>
      </w:r>
      <w:r w:rsidR="00EC26B3" w:rsidRPr="00C95AF5">
        <w:rPr>
          <w:u w:val="single"/>
        </w:rPr>
        <w:t xml:space="preserve">Past </w:t>
      </w:r>
      <w:r w:rsidRPr="00C95AF5">
        <w:rPr>
          <w:u w:val="single"/>
        </w:rPr>
        <w:t>Accrual Rate</w:t>
      </w:r>
      <w:r w:rsidRPr="00C95AF5">
        <w:t xml:space="preserve">: </w:t>
      </w:r>
      <w:r w:rsidR="004C5F6E" w:rsidRPr="00C95AF5">
        <w:t xml:space="preserve">The accrual rate for </w:t>
      </w:r>
      <w:r w:rsidR="0090344A" w:rsidRPr="00C95AF5">
        <w:t>a</w:t>
      </w:r>
      <w:r w:rsidR="004C5F6E" w:rsidRPr="00C95AF5">
        <w:t xml:space="preserve">ctive members </w:t>
      </w:r>
      <w:r w:rsidR="004C5F6E" w:rsidRPr="00C95AF5">
        <w:rPr>
          <w:b/>
          <w:bCs/>
        </w:rPr>
        <w:t>on contributions made through 2023</w:t>
      </w:r>
      <w:r w:rsidR="004C5F6E" w:rsidRPr="00C95AF5">
        <w:t xml:space="preserve"> will be reduced by 30%.  This results in an accrual rate of </w:t>
      </w:r>
      <w:r w:rsidR="004C5F6E" w:rsidRPr="0077640D">
        <w:t>1.225%</w:t>
      </w:r>
      <w:r w:rsidR="004C5F6E" w:rsidRPr="00C95AF5">
        <w:t xml:space="preserve"> on contributions</w:t>
      </w:r>
      <w:r w:rsidR="000B7E13" w:rsidRPr="00C95AF5">
        <w:t xml:space="preserve"> made through December 31, 2023</w:t>
      </w:r>
      <w:r w:rsidR="004C5F6E" w:rsidRPr="00C95AF5">
        <w:t xml:space="preserve">. </w:t>
      </w:r>
    </w:p>
    <w:p w14:paraId="2A76CAB9" w14:textId="77777777" w:rsidR="00EC26B3" w:rsidRPr="0077640D" w:rsidRDefault="00EC26B3" w:rsidP="0077640D">
      <w:pPr>
        <w:pStyle w:val="ListBullet"/>
        <w:numPr>
          <w:ilvl w:val="0"/>
          <w:numId w:val="0"/>
        </w:numPr>
        <w:ind w:left="360"/>
        <w:rPr>
          <w:b/>
          <w:bCs/>
        </w:rPr>
      </w:pPr>
    </w:p>
    <w:p w14:paraId="4C7319D6" w14:textId="79EE8E77" w:rsidR="00EC26B3" w:rsidRPr="0077640D" w:rsidRDefault="00EC26B3" w:rsidP="00EC26B3">
      <w:pPr>
        <w:pStyle w:val="ListBullet"/>
        <w:rPr>
          <w:b/>
          <w:bCs/>
        </w:rPr>
      </w:pPr>
      <w:r w:rsidRPr="0077640D">
        <w:rPr>
          <w:u w:val="single"/>
        </w:rPr>
        <w:t>No Change to Future Accrual Rate</w:t>
      </w:r>
      <w:r w:rsidRPr="00C95AF5">
        <w:t xml:space="preserve">: </w:t>
      </w:r>
      <w:r w:rsidR="004C5F6E" w:rsidRPr="00C95AF5">
        <w:t xml:space="preserve">There is </w:t>
      </w:r>
      <w:r w:rsidR="004C5F6E" w:rsidRPr="00C95AF5">
        <w:rPr>
          <w:b/>
          <w:bCs/>
        </w:rPr>
        <w:t>no change</w:t>
      </w:r>
      <w:r w:rsidR="004C5F6E" w:rsidRPr="00C95AF5">
        <w:t xml:space="preserve"> </w:t>
      </w:r>
      <w:r w:rsidR="003F479D" w:rsidRPr="00C95AF5">
        <w:t>to</w:t>
      </w:r>
      <w:r w:rsidR="004C5F6E" w:rsidRPr="00C95AF5">
        <w:t xml:space="preserve"> the accrual rate for </w:t>
      </w:r>
      <w:r w:rsidR="004C5F6E" w:rsidRPr="0077640D">
        <w:t>contributions</w:t>
      </w:r>
      <w:r w:rsidRPr="00C95AF5">
        <w:t xml:space="preserve"> made </w:t>
      </w:r>
      <w:r w:rsidR="004C5F6E" w:rsidRPr="00C95AF5">
        <w:t>on or after January 1, 2024</w:t>
      </w:r>
      <w:r w:rsidRPr="00C95AF5">
        <w:t>.</w:t>
      </w:r>
      <w:r w:rsidR="004C5F6E" w:rsidRPr="00C95AF5">
        <w:t xml:space="preserve"> </w:t>
      </w:r>
      <w:r w:rsidRPr="00C95AF5">
        <w:t xml:space="preserve">The </w:t>
      </w:r>
      <w:r w:rsidR="004C5F6E" w:rsidRPr="00C95AF5">
        <w:t xml:space="preserve">accrual rate will remain at </w:t>
      </w:r>
      <w:r w:rsidR="004C5F6E" w:rsidRPr="00C95AF5">
        <w:rPr>
          <w:b/>
          <w:bCs/>
        </w:rPr>
        <w:t>1.75%</w:t>
      </w:r>
      <w:r w:rsidRPr="00C95AF5">
        <w:rPr>
          <w:b/>
          <w:bCs/>
        </w:rPr>
        <w:t xml:space="preserve"> for these contributions</w:t>
      </w:r>
      <w:r w:rsidR="004E2419" w:rsidRPr="00C95AF5">
        <w:rPr>
          <w:b/>
          <w:bCs/>
        </w:rPr>
        <w:t>.</w:t>
      </w:r>
      <w:r w:rsidR="004C5F6E" w:rsidRPr="00C95AF5">
        <w:t xml:space="preserve">  </w:t>
      </w:r>
    </w:p>
    <w:p w14:paraId="4869D242" w14:textId="77777777" w:rsidR="00EC26B3" w:rsidRPr="0077640D" w:rsidRDefault="00EC26B3" w:rsidP="0077640D">
      <w:pPr>
        <w:pStyle w:val="ListBullet"/>
        <w:numPr>
          <w:ilvl w:val="0"/>
          <w:numId w:val="0"/>
        </w:numPr>
        <w:ind w:left="360"/>
        <w:rPr>
          <w:b/>
          <w:bCs/>
        </w:rPr>
      </w:pPr>
    </w:p>
    <w:p w14:paraId="42406D09" w14:textId="4FDC721A" w:rsidR="00017AFE" w:rsidRPr="00C95AF5" w:rsidRDefault="004C5F6E" w:rsidP="0077640D">
      <w:pPr>
        <w:pStyle w:val="ListBullet"/>
        <w:numPr>
          <w:ilvl w:val="0"/>
          <w:numId w:val="0"/>
        </w:numPr>
      </w:pPr>
      <w:r w:rsidRPr="00C95AF5">
        <w:t xml:space="preserve">With this change, </w:t>
      </w:r>
      <w:r w:rsidR="002837D9" w:rsidRPr="00C95AF5">
        <w:t>t</w:t>
      </w:r>
      <w:r w:rsidR="00F962D7" w:rsidRPr="00C95AF5">
        <w:t xml:space="preserve">he number of months </w:t>
      </w:r>
      <w:r w:rsidR="002837D9" w:rsidRPr="00C95AF5">
        <w:t xml:space="preserve">it will require to recoup </w:t>
      </w:r>
      <w:proofErr w:type="gramStart"/>
      <w:r w:rsidR="002837D9" w:rsidRPr="00C95AF5">
        <w:t>all of</w:t>
      </w:r>
      <w:proofErr w:type="gramEnd"/>
      <w:r w:rsidR="002837D9" w:rsidRPr="00C95AF5">
        <w:t xml:space="preserve"> your contributions </w:t>
      </w:r>
      <w:r w:rsidR="00F962D7" w:rsidRPr="00C95AF5">
        <w:t xml:space="preserve">will depend on your personal circumstances.  </w:t>
      </w:r>
      <w:r w:rsidR="00F962D7" w:rsidRPr="00C95AF5">
        <w:rPr>
          <w:b/>
          <w:bCs/>
        </w:rPr>
        <w:t xml:space="preserve">All retirees, however, will continue to receive a lifetime pension (with spousal protection, if applicable and desired). </w:t>
      </w:r>
      <w:r w:rsidR="008F35C5" w:rsidRPr="00C95AF5">
        <w:rPr>
          <w:b/>
          <w:bCs/>
        </w:rPr>
        <w:t xml:space="preserve">And, </w:t>
      </w:r>
      <w:r w:rsidR="00E92862" w:rsidRPr="00C95AF5">
        <w:rPr>
          <w:b/>
          <w:bCs/>
        </w:rPr>
        <w:t xml:space="preserve">if </w:t>
      </w:r>
      <w:r w:rsidR="008F35C5" w:rsidRPr="00C95AF5">
        <w:rPr>
          <w:b/>
          <w:bCs/>
        </w:rPr>
        <w:t>a</w:t>
      </w:r>
      <w:r w:rsidR="00E92862" w:rsidRPr="00C95AF5">
        <w:rPr>
          <w:b/>
          <w:bCs/>
        </w:rPr>
        <w:t xml:space="preserve"> member should die before the Plan returns 100% of their contributions, a Death Benefit equal to the remainder </w:t>
      </w:r>
      <w:r w:rsidR="008F35C5" w:rsidRPr="00C95AF5">
        <w:rPr>
          <w:b/>
          <w:bCs/>
        </w:rPr>
        <w:t xml:space="preserve">of his or her contributions </w:t>
      </w:r>
      <w:r w:rsidR="00E92862" w:rsidRPr="00C95AF5">
        <w:rPr>
          <w:b/>
          <w:bCs/>
        </w:rPr>
        <w:t>will be paid to the named beneficiary.</w:t>
      </w:r>
    </w:p>
    <w:p w14:paraId="4D747607" w14:textId="0B531164" w:rsidR="005304ED" w:rsidRPr="00C95AF5" w:rsidRDefault="00EC26B3" w:rsidP="0077640D">
      <w:pPr>
        <w:pStyle w:val="ListParagraph"/>
        <w:spacing w:line="276" w:lineRule="auto"/>
        <w:ind w:left="0"/>
      </w:pPr>
      <w:r w:rsidRPr="00C95AF5">
        <w:t xml:space="preserve">As described above, the TMRP expresses accrual rates as a percentage of contributions. </w:t>
      </w:r>
      <w:r w:rsidR="005304ED" w:rsidRPr="00C95AF5">
        <w:t xml:space="preserve">As a point of reference, </w:t>
      </w:r>
      <w:proofErr w:type="gramStart"/>
      <w:r w:rsidR="005304ED" w:rsidRPr="00C95AF5">
        <w:t>the majority of</w:t>
      </w:r>
      <w:proofErr w:type="gramEnd"/>
      <w:r w:rsidR="005304ED" w:rsidRPr="00C95AF5">
        <w:t xml:space="preserve"> other </w:t>
      </w:r>
      <w:proofErr w:type="gramStart"/>
      <w:r w:rsidRPr="00C95AF5">
        <w:t>u</w:t>
      </w:r>
      <w:r w:rsidR="005304ED" w:rsidRPr="00C95AF5">
        <w:t>nion</w:t>
      </w:r>
      <w:proofErr w:type="gramEnd"/>
      <w:r w:rsidR="005304ED" w:rsidRPr="00C95AF5">
        <w:t xml:space="preserve"> defined benefit plans </w:t>
      </w:r>
      <w:r w:rsidRPr="00C95AF5">
        <w:t xml:space="preserve">– in particular, </w:t>
      </w:r>
      <w:r w:rsidR="005304ED" w:rsidRPr="00C95AF5">
        <w:t xml:space="preserve">multiemployer </w:t>
      </w:r>
      <w:r w:rsidR="000B7E13" w:rsidRPr="00C95AF5">
        <w:t xml:space="preserve">pension </w:t>
      </w:r>
      <w:r w:rsidR="005304ED" w:rsidRPr="00C95AF5">
        <w:t>plans</w:t>
      </w:r>
      <w:r w:rsidRPr="00C95AF5">
        <w:t xml:space="preserve"> –</w:t>
      </w:r>
      <w:r w:rsidR="005304ED" w:rsidRPr="00C95AF5">
        <w:t xml:space="preserve"> that </w:t>
      </w:r>
      <w:r w:rsidRPr="00C95AF5">
        <w:t xml:space="preserve">also </w:t>
      </w:r>
      <w:r w:rsidR="005304ED" w:rsidRPr="00C95AF5">
        <w:t xml:space="preserve">express their accrual rates as a percentage of contributions have accrual rates of between 1% and 1.24% of contributions.  </w:t>
      </w:r>
      <w:r w:rsidR="000B7E13" w:rsidRPr="00C95AF5">
        <w:t>In fact, f</w:t>
      </w:r>
      <w:r w:rsidR="005304ED" w:rsidRPr="00C95AF5">
        <w:t xml:space="preserve">or plans facing the kind of funding challenges facing the TMRP, </w:t>
      </w:r>
      <w:r w:rsidR="005304ED" w:rsidRPr="00C95AF5">
        <w:rPr>
          <w:b/>
          <w:bCs/>
        </w:rPr>
        <w:t>73%</w:t>
      </w:r>
      <w:r w:rsidR="005304ED" w:rsidRPr="00C95AF5">
        <w:t xml:space="preserve"> have between a 1% and a 1.24% accrual rate. The reduction of past contributions to 1.22</w:t>
      </w:r>
      <w:r w:rsidR="000B7E13" w:rsidRPr="00C95AF5">
        <w:t>5</w:t>
      </w:r>
      <w:r w:rsidR="005304ED" w:rsidRPr="00C95AF5">
        <w:t xml:space="preserve">% brings the TMRP into line with those </w:t>
      </w:r>
      <w:r w:rsidR="000B7E13" w:rsidRPr="00C95AF5">
        <w:t xml:space="preserve">other </w:t>
      </w:r>
      <w:r w:rsidR="005304ED" w:rsidRPr="00C95AF5">
        <w:t xml:space="preserve">plans.  Keeping the future accrual rate at 1.75% places the TMRP’s accrual rate well above the average multiemployer </w:t>
      </w:r>
      <w:r w:rsidR="008F3899" w:rsidRPr="00C95AF5">
        <w:t xml:space="preserve">pension </w:t>
      </w:r>
      <w:r w:rsidR="005304ED" w:rsidRPr="00C95AF5">
        <w:t xml:space="preserve">plan.  </w:t>
      </w:r>
    </w:p>
    <w:p w14:paraId="096D9EDF" w14:textId="77777777" w:rsidR="005304ED" w:rsidRPr="00C95AF5" w:rsidRDefault="005304ED" w:rsidP="002D368E">
      <w:pPr>
        <w:pStyle w:val="ListParagraph"/>
        <w:spacing w:line="276" w:lineRule="auto"/>
      </w:pPr>
    </w:p>
    <w:p w14:paraId="263006C0" w14:textId="5902DEF3" w:rsidR="005304ED" w:rsidRPr="00C95AF5" w:rsidRDefault="005304ED" w:rsidP="002D368E">
      <w:pPr>
        <w:pStyle w:val="ListParagraph"/>
        <w:numPr>
          <w:ilvl w:val="0"/>
          <w:numId w:val="4"/>
        </w:numPr>
        <w:spacing w:line="276" w:lineRule="auto"/>
      </w:pPr>
      <w:r w:rsidRPr="00C95AF5">
        <w:rPr>
          <w:u w:val="single"/>
        </w:rPr>
        <w:t xml:space="preserve">Increased </w:t>
      </w:r>
      <w:r w:rsidR="00EC26B3" w:rsidRPr="00C95AF5">
        <w:rPr>
          <w:u w:val="single"/>
        </w:rPr>
        <w:t xml:space="preserve">Reduction </w:t>
      </w:r>
      <w:r w:rsidRPr="00C95AF5">
        <w:rPr>
          <w:u w:val="single"/>
        </w:rPr>
        <w:t>for Early Retirement</w:t>
      </w:r>
      <w:r w:rsidR="00A41905" w:rsidRPr="00C95AF5">
        <w:rPr>
          <w:u w:val="single"/>
        </w:rPr>
        <w:t xml:space="preserve"> </w:t>
      </w:r>
      <w:r w:rsidR="008F3899" w:rsidRPr="00C95AF5">
        <w:rPr>
          <w:u w:val="single"/>
        </w:rPr>
        <w:t>Benefits</w:t>
      </w:r>
      <w:r w:rsidR="00EC26B3" w:rsidRPr="0077640D">
        <w:t>:</w:t>
      </w:r>
      <w:r w:rsidR="008F3899" w:rsidRPr="0077640D">
        <w:t xml:space="preserve"> </w:t>
      </w:r>
      <w:r w:rsidR="00A41905" w:rsidRPr="0077640D">
        <w:t xml:space="preserve">Effective for </w:t>
      </w:r>
      <w:r w:rsidR="00EC26B3" w:rsidRPr="00C95AF5">
        <w:t>r</w:t>
      </w:r>
      <w:r w:rsidR="00EC26B3" w:rsidRPr="0077640D">
        <w:t xml:space="preserve">etirements </w:t>
      </w:r>
      <w:r w:rsidR="00A41905" w:rsidRPr="0077640D">
        <w:t>on or after January 1, 2024</w:t>
      </w:r>
      <w:r w:rsidR="00EC26B3" w:rsidRPr="00C95AF5">
        <w:t>, t</w:t>
      </w:r>
      <w:r w:rsidRPr="00C95AF5">
        <w:t xml:space="preserve">he adjustment for retirement before age 65 will </w:t>
      </w:r>
      <w:r w:rsidR="00EC26B3" w:rsidRPr="00C95AF5">
        <w:t>change</w:t>
      </w:r>
      <w:r w:rsidRPr="00C95AF5">
        <w:t xml:space="preserve">.  Currently, the TMRP subsidizes the pension of anyone who retires before age 65.  That is, the </w:t>
      </w:r>
      <w:r w:rsidR="00F962D7" w:rsidRPr="00C95AF5">
        <w:t xml:space="preserve">lifetime </w:t>
      </w:r>
      <w:r w:rsidRPr="00C95AF5">
        <w:t xml:space="preserve">value of the pension </w:t>
      </w:r>
      <w:r w:rsidR="002837D9" w:rsidRPr="00C95AF5">
        <w:t xml:space="preserve">for those who retire </w:t>
      </w:r>
      <w:r w:rsidRPr="00C95AF5">
        <w:t xml:space="preserve">before age 65 </w:t>
      </w:r>
      <w:r w:rsidR="00EC26B3" w:rsidRPr="00C95AF5">
        <w:t xml:space="preserve">is greater </w:t>
      </w:r>
      <w:r w:rsidRPr="00C95AF5">
        <w:t xml:space="preserve">than the value of a pension </w:t>
      </w:r>
      <w:r w:rsidR="002837D9" w:rsidRPr="00C95AF5">
        <w:t xml:space="preserve">for those retiring </w:t>
      </w:r>
      <w:r w:rsidRPr="00C95AF5">
        <w:t xml:space="preserve">after </w:t>
      </w:r>
      <w:r w:rsidR="00B96212" w:rsidRPr="00C95AF5">
        <w:t>attainment</w:t>
      </w:r>
      <w:r w:rsidRPr="00C95AF5">
        <w:t xml:space="preserve"> of age 65</w:t>
      </w:r>
      <w:r w:rsidR="00EC26B3" w:rsidRPr="00C95AF5">
        <w:t xml:space="preserve">, </w:t>
      </w:r>
      <w:r w:rsidR="002837D9" w:rsidRPr="00C95AF5">
        <w:t>all else being equal</w:t>
      </w:r>
      <w:r w:rsidR="00EC26B3" w:rsidRPr="00C95AF5">
        <w:t>. In other words, the</w:t>
      </w:r>
      <w:r w:rsidR="00834742" w:rsidRPr="00C95AF5">
        <w:t xml:space="preserve"> additional value </w:t>
      </w:r>
      <w:r w:rsidR="00EC26B3" w:rsidRPr="00C95AF5">
        <w:t xml:space="preserve">for early retirement before age 65 </w:t>
      </w:r>
      <w:r w:rsidR="00834742" w:rsidRPr="00C95AF5">
        <w:t>is paid for by the Plan through “subsidized” early retirement factors.</w:t>
      </w:r>
      <w:r w:rsidRPr="00C95AF5">
        <w:t xml:space="preserve">  Th</w:t>
      </w:r>
      <w:r w:rsidR="00834742" w:rsidRPr="00C95AF5">
        <w:t>e proposed</w:t>
      </w:r>
      <w:r w:rsidRPr="00C95AF5">
        <w:t xml:space="preserve"> change will </w:t>
      </w:r>
      <w:r w:rsidR="00EC26B3" w:rsidRPr="00C95AF5">
        <w:t xml:space="preserve">change </w:t>
      </w:r>
      <w:r w:rsidRPr="00C95AF5">
        <w:t xml:space="preserve">the early retirement adjustment so that the value of a pension </w:t>
      </w:r>
      <w:r w:rsidR="002837D9" w:rsidRPr="00C95AF5">
        <w:t xml:space="preserve">for those who retire </w:t>
      </w:r>
      <w:r w:rsidRPr="00C95AF5">
        <w:t xml:space="preserve">before age 65 </w:t>
      </w:r>
      <w:r w:rsidRPr="00C95AF5">
        <w:rPr>
          <w:b/>
          <w:bCs/>
        </w:rPr>
        <w:t xml:space="preserve">is equal </w:t>
      </w:r>
      <w:r w:rsidRPr="00C95AF5">
        <w:t xml:space="preserve">(on an actuarial basis) </w:t>
      </w:r>
      <w:r w:rsidR="00EC26B3" w:rsidRPr="00C95AF5">
        <w:t xml:space="preserve">to </w:t>
      </w:r>
      <w:r w:rsidRPr="00C95AF5">
        <w:t xml:space="preserve">the value of a pension </w:t>
      </w:r>
      <w:r w:rsidR="002837D9" w:rsidRPr="00C95AF5">
        <w:t xml:space="preserve">for those who retire </w:t>
      </w:r>
      <w:r w:rsidR="00EC26B3" w:rsidRPr="00C95AF5">
        <w:t>at</w:t>
      </w:r>
      <w:r w:rsidRPr="00C95AF5">
        <w:t xml:space="preserve"> age 65.  </w:t>
      </w:r>
      <w:r w:rsidR="008F35C5" w:rsidRPr="00C95AF5">
        <w:t>Further, u</w:t>
      </w:r>
      <w:r w:rsidRPr="00C95AF5">
        <w:t xml:space="preserve">nder the proposed </w:t>
      </w:r>
      <w:r w:rsidR="00F962D7" w:rsidRPr="00C95AF5">
        <w:t xml:space="preserve">early retirement </w:t>
      </w:r>
      <w:r w:rsidRPr="00C95AF5">
        <w:t xml:space="preserve">factors, there is no difference for those </w:t>
      </w:r>
      <w:r w:rsidR="00F962D7" w:rsidRPr="00C95AF5">
        <w:t xml:space="preserve">pensioners </w:t>
      </w:r>
      <w:r w:rsidRPr="00C95AF5">
        <w:t>retiring with 25 or more years of service.</w:t>
      </w:r>
    </w:p>
    <w:p w14:paraId="2E3A88D1" w14:textId="77777777" w:rsidR="000068A9" w:rsidRPr="00C95AF5" w:rsidRDefault="000068A9" w:rsidP="000068A9">
      <w:pPr>
        <w:pStyle w:val="ListParagraph"/>
        <w:spacing w:line="276" w:lineRule="auto"/>
      </w:pPr>
    </w:p>
    <w:p w14:paraId="0BEE85DB" w14:textId="77777777" w:rsidR="005304ED" w:rsidRPr="00C95AF5" w:rsidRDefault="005304ED" w:rsidP="002D368E">
      <w:pPr>
        <w:spacing w:line="276" w:lineRule="auto"/>
        <w:jc w:val="center"/>
      </w:pPr>
    </w:p>
    <w:p w14:paraId="45658F2C" w14:textId="7A6C776B" w:rsidR="004C5F6E" w:rsidRPr="00C95AF5" w:rsidRDefault="004C5F6E" w:rsidP="002D368E">
      <w:pPr>
        <w:keepNext/>
        <w:spacing w:line="276" w:lineRule="auto"/>
        <w:rPr>
          <w:b/>
          <w:bCs/>
        </w:rPr>
      </w:pPr>
      <w:r w:rsidRPr="00C95AF5">
        <w:rPr>
          <w:b/>
          <w:bCs/>
        </w:rPr>
        <w:lastRenderedPageBreak/>
        <w:t>Retirees</w:t>
      </w:r>
    </w:p>
    <w:p w14:paraId="267257C7" w14:textId="11A5842D" w:rsidR="00AA186D" w:rsidRPr="00C95AF5" w:rsidRDefault="004C5F6E" w:rsidP="002D368E">
      <w:pPr>
        <w:keepNext/>
        <w:spacing w:line="276" w:lineRule="auto"/>
      </w:pPr>
      <w:r w:rsidRPr="00C95AF5">
        <w:t xml:space="preserve">Benefits for </w:t>
      </w:r>
      <w:r w:rsidR="009A3F9D" w:rsidRPr="00C95AF5">
        <w:t>r</w:t>
      </w:r>
      <w:r w:rsidRPr="00C95AF5">
        <w:t>etired members will be reduced by 40%.</w:t>
      </w:r>
      <w:r w:rsidR="00E00AAF" w:rsidRPr="00C95AF5">
        <w:rPr>
          <w:rStyle w:val="FootnoteReference"/>
        </w:rPr>
        <w:footnoteReference w:id="1"/>
      </w:r>
      <w:r w:rsidR="00E00AAF" w:rsidRPr="00C95AF5">
        <w:t xml:space="preserve"> </w:t>
      </w:r>
      <w:r w:rsidR="00B96212" w:rsidRPr="00C95AF5">
        <w:t xml:space="preserve"> For example, a retiree receiving $500</w:t>
      </w:r>
      <w:r w:rsidR="00EC26B3" w:rsidRPr="00C95AF5">
        <w:t>.00</w:t>
      </w:r>
      <w:r w:rsidR="00B96212" w:rsidRPr="00C95AF5">
        <w:t xml:space="preserve"> per month will begin receiving $300.00 per month as of January 1, 2024.</w:t>
      </w:r>
      <w:r w:rsidR="00D13608" w:rsidRPr="00C95AF5">
        <w:t xml:space="preserve"> </w:t>
      </w:r>
    </w:p>
    <w:p w14:paraId="6BC7B08D" w14:textId="3EFAC3F9" w:rsidR="0085625A" w:rsidRPr="00C95AF5" w:rsidRDefault="00D13608" w:rsidP="002D368E">
      <w:pPr>
        <w:keepNext/>
        <w:spacing w:line="276" w:lineRule="auto"/>
      </w:pPr>
      <w:r w:rsidRPr="00C95AF5">
        <w:t>Important Note:  Over 85% of our retired members have already recouped their entire investment in the Plan (their contributions).  For those retirees, although the proposal represents a benefit</w:t>
      </w:r>
      <w:r w:rsidR="00812F6E" w:rsidRPr="00C95AF5">
        <w:t xml:space="preserve"> r</w:t>
      </w:r>
      <w:r w:rsidRPr="00C95AF5">
        <w:t xml:space="preserve">eduction, they will continue to receive a </w:t>
      </w:r>
      <w:r w:rsidR="00D65FDD" w:rsidRPr="00C95AF5">
        <w:t>monthly pension benefit</w:t>
      </w:r>
      <w:r w:rsidRPr="00C95AF5">
        <w:t xml:space="preserve"> over and above the amount they contributed to the Plan</w:t>
      </w:r>
      <w:r w:rsidR="00D65FDD" w:rsidRPr="00C95AF5">
        <w:t xml:space="preserve"> for the rest of their</w:t>
      </w:r>
      <w:r w:rsidR="00EC26B3" w:rsidRPr="00C95AF5">
        <w:t xml:space="preserve"> lifetime</w:t>
      </w:r>
      <w:r w:rsidR="00D65FDD" w:rsidRPr="00C95AF5">
        <w:t xml:space="preserve"> and their spouse’s </w:t>
      </w:r>
      <w:r w:rsidR="00EC26B3" w:rsidRPr="00C95AF5">
        <w:t>lifetime</w:t>
      </w:r>
      <w:r w:rsidRPr="00C95AF5">
        <w:t>.</w:t>
      </w:r>
    </w:p>
    <w:p w14:paraId="2CFDF784" w14:textId="3833E84E" w:rsidR="0085625A" w:rsidRPr="00C95AF5" w:rsidRDefault="0085625A" w:rsidP="002D368E">
      <w:pPr>
        <w:keepNext/>
        <w:spacing w:line="276" w:lineRule="auto"/>
      </w:pPr>
      <w:r w:rsidRPr="00C95AF5">
        <w:t>For those retirees who have not yet recouped their contributions, even with the benefit cuts, they will recoup their contributions within a reasonable period</w:t>
      </w:r>
      <w:r w:rsidR="00BE6D9F">
        <w:t xml:space="preserve"> and again, after the recoupment period, members</w:t>
      </w:r>
      <w:r w:rsidR="00B65DCA">
        <w:t xml:space="preserve"> will receive a pension benefit for the remainder of their lifetime</w:t>
      </w:r>
      <w:r w:rsidRPr="00C95AF5">
        <w:t xml:space="preserve">.  </w:t>
      </w:r>
    </w:p>
    <w:p w14:paraId="37A8902B" w14:textId="4281A8BF" w:rsidR="004C5F6E" w:rsidRPr="00C95AF5" w:rsidRDefault="004C5F6E" w:rsidP="00FE3D3A">
      <w:pPr>
        <w:rPr>
          <w:b/>
          <w:bCs/>
        </w:rPr>
      </w:pPr>
      <w:r w:rsidRPr="00C95AF5">
        <w:rPr>
          <w:b/>
          <w:bCs/>
        </w:rPr>
        <w:t>Terminated Vested Members</w:t>
      </w:r>
    </w:p>
    <w:p w14:paraId="7864B4B7" w14:textId="4F164A6B" w:rsidR="004606C0" w:rsidRDefault="004C5F6E" w:rsidP="002D368E">
      <w:pPr>
        <w:spacing w:line="276" w:lineRule="auto"/>
        <w:rPr>
          <w:b/>
          <w:bCs/>
        </w:rPr>
      </w:pPr>
      <w:r w:rsidRPr="00C95AF5">
        <w:t xml:space="preserve">Benefits for </w:t>
      </w:r>
      <w:r w:rsidR="009A3F9D" w:rsidRPr="00C95AF5">
        <w:t>t</w:t>
      </w:r>
      <w:r w:rsidRPr="00C95AF5">
        <w:t xml:space="preserve">erminated </w:t>
      </w:r>
      <w:r w:rsidR="009A3F9D" w:rsidRPr="00C95AF5">
        <w:t>v</w:t>
      </w:r>
      <w:r w:rsidRPr="00C95AF5">
        <w:t>ested members will be reduced by 50%.</w:t>
      </w:r>
      <w:r w:rsidR="00D65FDD" w:rsidRPr="00C95AF5">
        <w:rPr>
          <w:rStyle w:val="FootnoteReference"/>
        </w:rPr>
        <w:footnoteReference w:id="2"/>
      </w:r>
    </w:p>
    <w:p w14:paraId="65A39D58" w14:textId="59D26B21" w:rsidR="004C5F6E" w:rsidRPr="00C95AF5" w:rsidRDefault="004C5F6E" w:rsidP="002D368E">
      <w:pPr>
        <w:spacing w:line="276" w:lineRule="auto"/>
        <w:rPr>
          <w:b/>
          <w:bCs/>
        </w:rPr>
      </w:pPr>
      <w:r w:rsidRPr="00C95AF5">
        <w:rPr>
          <w:b/>
          <w:bCs/>
        </w:rPr>
        <w:t xml:space="preserve">Trustees' </w:t>
      </w:r>
      <w:r w:rsidR="00C95AF5" w:rsidRPr="00C95AF5">
        <w:rPr>
          <w:b/>
          <w:bCs/>
        </w:rPr>
        <w:t xml:space="preserve">Authority </w:t>
      </w:r>
      <w:r w:rsidRPr="00C95AF5">
        <w:rPr>
          <w:b/>
          <w:bCs/>
        </w:rPr>
        <w:t>to Adjust Benefits</w:t>
      </w:r>
    </w:p>
    <w:p w14:paraId="72141203" w14:textId="12C2DDE0" w:rsidR="009A3F9D" w:rsidRPr="00C95AF5" w:rsidRDefault="004C5F6E" w:rsidP="002D368E">
      <w:pPr>
        <w:spacing w:line="276" w:lineRule="auto"/>
      </w:pPr>
      <w:r w:rsidRPr="00C95AF5">
        <w:t xml:space="preserve">The Trustees are </w:t>
      </w:r>
      <w:r w:rsidR="004E2419" w:rsidRPr="00C95AF5">
        <w:t>authorized</w:t>
      </w:r>
      <w:r w:rsidRPr="00C95AF5">
        <w:t xml:space="preserve"> under the terms of the Plan’s Trust Indenture to adjust benefits </w:t>
      </w:r>
      <w:r w:rsidR="004E2419" w:rsidRPr="00C95AF5">
        <w:t xml:space="preserve">in any </w:t>
      </w:r>
      <w:r w:rsidRPr="00C95AF5">
        <w:t>Plan year if necessary</w:t>
      </w:r>
      <w:r w:rsidR="004505B8" w:rsidRPr="00C95AF5">
        <w:t xml:space="preserve"> to bring the Plan’s funding level to 100%</w:t>
      </w:r>
      <w:r w:rsidRPr="00C95AF5">
        <w:t xml:space="preserve"> </w:t>
      </w:r>
      <w:r w:rsidR="004E2419" w:rsidRPr="00C95AF5">
        <w:rPr>
          <w:b/>
          <w:bCs/>
        </w:rPr>
        <w:t>provided</w:t>
      </w:r>
      <w:r w:rsidR="004E2419" w:rsidRPr="00C95AF5">
        <w:t xml:space="preserve"> </w:t>
      </w:r>
      <w:r w:rsidR="00B96212" w:rsidRPr="00C95AF5">
        <w:t xml:space="preserve">that any </w:t>
      </w:r>
      <w:r w:rsidR="00A05769" w:rsidRPr="00C95AF5">
        <w:t>benefit adjustments are approved by referendum conducted among active and retired members.</w:t>
      </w:r>
      <w:r w:rsidRPr="00C95AF5">
        <w:t xml:space="preserve"> </w:t>
      </w:r>
    </w:p>
    <w:p w14:paraId="66288F6F" w14:textId="77777777" w:rsidR="000068A9" w:rsidRPr="00C95AF5" w:rsidRDefault="000068A9" w:rsidP="000068A9">
      <w:pPr>
        <w:spacing w:line="276" w:lineRule="auto"/>
        <w:jc w:val="center"/>
        <w:rPr>
          <w:b/>
          <w:bCs/>
        </w:rPr>
      </w:pPr>
    </w:p>
    <w:p w14:paraId="50D830EE" w14:textId="36BF5B91" w:rsidR="004C5F6E" w:rsidRPr="0077640D" w:rsidRDefault="000068A9" w:rsidP="000068A9">
      <w:pPr>
        <w:keepNext/>
        <w:spacing w:line="276" w:lineRule="auto"/>
        <w:jc w:val="center"/>
        <w:rPr>
          <w:b/>
          <w:bCs/>
          <w:sz w:val="28"/>
          <w:szCs w:val="24"/>
        </w:rPr>
      </w:pPr>
      <w:r w:rsidRPr="0077640D">
        <w:rPr>
          <w:b/>
          <w:bCs/>
          <w:sz w:val="28"/>
          <w:szCs w:val="24"/>
        </w:rPr>
        <w:t>ALTERNATIVES TO PROPOSED BENEFIT ADJUSTMENTS</w:t>
      </w:r>
    </w:p>
    <w:p w14:paraId="71144E5F" w14:textId="6E7D2ADC" w:rsidR="000068A9" w:rsidRPr="00C95AF5" w:rsidRDefault="000068A9" w:rsidP="000068A9">
      <w:pPr>
        <w:keepNext/>
        <w:spacing w:line="276" w:lineRule="auto"/>
        <w:rPr>
          <w:b/>
          <w:bCs/>
        </w:rPr>
      </w:pPr>
      <w:r w:rsidRPr="00C95AF5">
        <w:rPr>
          <w:b/>
          <w:bCs/>
        </w:rPr>
        <w:t>1.</w:t>
      </w:r>
      <w:r w:rsidRPr="00C95AF5">
        <w:rPr>
          <w:b/>
          <w:bCs/>
        </w:rPr>
        <w:tab/>
        <w:t>Repayment of Contributions if Necessary – Trigger Point</w:t>
      </w:r>
    </w:p>
    <w:p w14:paraId="3F4337C7" w14:textId="27DADAC0" w:rsidR="000068A9" w:rsidRPr="00C95AF5" w:rsidRDefault="000068A9" w:rsidP="000068A9">
      <w:pPr>
        <w:keepNext/>
        <w:spacing w:line="276" w:lineRule="auto"/>
      </w:pPr>
      <w:r w:rsidRPr="00C95AF5">
        <w:t xml:space="preserve">Under the terms of the Trust Indenture, if the TMRP has only enough money left to repay members at least </w:t>
      </w:r>
      <w:proofErr w:type="gramStart"/>
      <w:r w:rsidRPr="00C95AF5">
        <w:t>all of</w:t>
      </w:r>
      <w:proofErr w:type="gramEnd"/>
      <w:r w:rsidRPr="00C95AF5">
        <w:t xml:space="preserve"> their contributions (reduced by the benefits they have received), the Plan will be terminated, and members will receive their total contributions minus benefits received.  </w:t>
      </w:r>
      <w:r w:rsidRPr="00C95AF5">
        <w:rPr>
          <w:b/>
          <w:bCs/>
        </w:rPr>
        <w:t xml:space="preserve">This means that any retiree who has already collected the value of their contributions (currently 85% of retirees) will receive no further benefits – all pension payments will </w:t>
      </w:r>
      <w:r w:rsidR="004505B8" w:rsidRPr="00C95AF5">
        <w:rPr>
          <w:b/>
          <w:bCs/>
        </w:rPr>
        <w:t xml:space="preserve">immediately </w:t>
      </w:r>
      <w:r w:rsidRPr="00C95AF5">
        <w:rPr>
          <w:b/>
          <w:bCs/>
        </w:rPr>
        <w:t>cease.</w:t>
      </w:r>
      <w:r w:rsidRPr="00C95AF5">
        <w:t xml:space="preserve">  At present, the Plan is projected to hit this “</w:t>
      </w:r>
      <w:r w:rsidRPr="0077640D">
        <w:t>Trigger Point” in 20</w:t>
      </w:r>
      <w:r w:rsidR="00472231" w:rsidRPr="0077640D">
        <w:t>30</w:t>
      </w:r>
      <w:r w:rsidRPr="00C95AF5">
        <w:t>.  That is, if no benefit adjustments are approved, the Plan will terminate</w:t>
      </w:r>
      <w:r w:rsidR="004D432E" w:rsidRPr="00C95AF5">
        <w:t xml:space="preserve"> in </w:t>
      </w:r>
      <w:r w:rsidR="004D432E" w:rsidRPr="0077640D">
        <w:t>20</w:t>
      </w:r>
      <w:r w:rsidR="00472231" w:rsidRPr="0077640D">
        <w:t>30</w:t>
      </w:r>
      <w:r w:rsidRPr="00C95AF5">
        <w:t xml:space="preserve"> and remaining contributions </w:t>
      </w:r>
      <w:r w:rsidR="004505B8" w:rsidRPr="00C95AF5">
        <w:t xml:space="preserve">not already paid out </w:t>
      </w:r>
      <w:r w:rsidRPr="00C95AF5">
        <w:t>will be returned.  Pension benefits will cease for any retiree who has already received the value of their contributions in the form of pension payments</w:t>
      </w:r>
      <w:r w:rsidR="00472231" w:rsidRPr="00C95AF5">
        <w:t>,</w:t>
      </w:r>
      <w:r w:rsidR="004505B8" w:rsidRPr="00C95AF5">
        <w:t xml:space="preserve"> and no further pension benefits will </w:t>
      </w:r>
      <w:r w:rsidR="004505B8" w:rsidRPr="00C95AF5">
        <w:lastRenderedPageBreak/>
        <w:t>be paid in the future</w:t>
      </w:r>
      <w:r w:rsidRPr="00C95AF5">
        <w:t>.  This is not a proposed change and will not be voted on since the Plan already provides for this contingency</w:t>
      </w:r>
      <w:r w:rsidR="004505B8" w:rsidRPr="00C95AF5">
        <w:t xml:space="preserve"> under the terms of the Plan</w:t>
      </w:r>
      <w:r w:rsidRPr="00C95AF5">
        <w:t>.</w:t>
      </w:r>
    </w:p>
    <w:p w14:paraId="0D5DF54C" w14:textId="2072A8A2" w:rsidR="000068A9" w:rsidRPr="00C95AF5" w:rsidRDefault="000068A9" w:rsidP="000068A9">
      <w:pPr>
        <w:keepNext/>
        <w:spacing w:line="276" w:lineRule="auto"/>
        <w:rPr>
          <w:b/>
          <w:bCs/>
        </w:rPr>
      </w:pPr>
      <w:r w:rsidRPr="00C95AF5">
        <w:rPr>
          <w:b/>
          <w:bCs/>
        </w:rPr>
        <w:t>2.</w:t>
      </w:r>
      <w:r w:rsidRPr="00C95AF5">
        <w:rPr>
          <w:b/>
          <w:bCs/>
        </w:rPr>
        <w:tab/>
        <w:t>Purchase of Annuities</w:t>
      </w:r>
    </w:p>
    <w:p w14:paraId="6A6238A2" w14:textId="2E206696" w:rsidR="003345CE" w:rsidRPr="00C95AF5" w:rsidRDefault="009A3F9D" w:rsidP="003345CE">
      <w:pPr>
        <w:spacing w:line="276" w:lineRule="auto"/>
      </w:pPr>
      <w:r w:rsidRPr="00C95AF5">
        <w:t xml:space="preserve">If the benefit adjustments set forth above for active, retired and terminated vested members </w:t>
      </w:r>
      <w:r w:rsidR="00D8793E" w:rsidRPr="00C95AF5">
        <w:t>are</w:t>
      </w:r>
      <w:r w:rsidRPr="00C95AF5">
        <w:t xml:space="preserve"> not approved by our membership</w:t>
      </w:r>
      <w:r w:rsidR="00D8793E" w:rsidRPr="00C95AF5">
        <w:t>,</w:t>
      </w:r>
      <w:r w:rsidRPr="00C95AF5">
        <w:t xml:space="preserve"> the Trustees </w:t>
      </w:r>
      <w:r w:rsidR="00045DEA" w:rsidRPr="00C95AF5">
        <w:t>will likely</w:t>
      </w:r>
      <w:r w:rsidR="00D13608" w:rsidRPr="00C95AF5">
        <w:t xml:space="preserve"> decide that it is in the members’ best interest to </w:t>
      </w:r>
      <w:r w:rsidR="00045DEA" w:rsidRPr="00C95AF5">
        <w:t xml:space="preserve">terminate the Plan and </w:t>
      </w:r>
      <w:r w:rsidR="00C95AF5" w:rsidRPr="00C95AF5">
        <w:t xml:space="preserve">purchase annuities for members in </w:t>
      </w:r>
      <w:r w:rsidRPr="00C95AF5">
        <w:t>the marketplace</w:t>
      </w:r>
      <w:r w:rsidR="00C95AF5" w:rsidRPr="00C95AF5">
        <w:t xml:space="preserve">, </w:t>
      </w:r>
      <w:r w:rsidR="00D13608" w:rsidRPr="00C95AF5">
        <w:t xml:space="preserve">rather than waiting until the Plan reaches its “Trigger Point” as described </w:t>
      </w:r>
      <w:r w:rsidR="000068A9" w:rsidRPr="00C95AF5">
        <w:t>above</w:t>
      </w:r>
      <w:r w:rsidRPr="00C95AF5">
        <w:t xml:space="preserve">.  This means that whatever the Plan’s assets will pay for </w:t>
      </w:r>
      <w:r w:rsidR="00045DEA" w:rsidRPr="00C95AF5">
        <w:t xml:space="preserve">at the time of the annuity purchase </w:t>
      </w:r>
      <w:r w:rsidRPr="00C95AF5">
        <w:t xml:space="preserve">is what our members will get.  </w:t>
      </w:r>
      <w:r w:rsidR="003345CE" w:rsidRPr="00C95AF5">
        <w:t xml:space="preserve">Further, due to daily investment market fluctuations, Plan members will not have advance notice or a vote on any specific benefit reductions applicable to annuity purchases.  </w:t>
      </w:r>
      <w:r w:rsidR="002A6D4D">
        <w:t>Due to the demands of the annuity purchase market, t</w:t>
      </w:r>
      <w:r w:rsidR="003345CE" w:rsidRPr="00C95AF5">
        <w:t xml:space="preserve">he Trustees will have </w:t>
      </w:r>
      <w:r w:rsidR="00C95AF5" w:rsidRPr="00C95AF5">
        <w:t xml:space="preserve">a window of </w:t>
      </w:r>
      <w:r w:rsidR="003345CE" w:rsidRPr="00C95AF5">
        <w:t>only 4</w:t>
      </w:r>
      <w:r w:rsidR="00C95AF5" w:rsidRPr="00C95AF5">
        <w:t xml:space="preserve"> to </w:t>
      </w:r>
      <w:r w:rsidR="003345CE" w:rsidRPr="00C95AF5">
        <w:t>8 hour</w:t>
      </w:r>
      <w:r w:rsidR="00C95AF5" w:rsidRPr="00C95AF5">
        <w:t>s</w:t>
      </w:r>
      <w:r w:rsidR="003345CE" w:rsidRPr="00C95AF5">
        <w:t xml:space="preserve"> to commit to specific benefit reductions.</w:t>
      </w:r>
    </w:p>
    <w:p w14:paraId="4A8F23E8" w14:textId="2C0C5AB1" w:rsidR="003345CE" w:rsidRPr="00C95AF5" w:rsidRDefault="009A3F9D" w:rsidP="002D368E">
      <w:pPr>
        <w:spacing w:line="276" w:lineRule="auto"/>
      </w:pPr>
      <w:r w:rsidRPr="00C95AF5">
        <w:t xml:space="preserve">The numbers today are bleak – benefits for active members will have to be reduced by </w:t>
      </w:r>
      <w:r w:rsidR="00D8793E" w:rsidRPr="0077640D">
        <w:rPr>
          <w:i/>
          <w:iCs/>
        </w:rPr>
        <w:t>at least</w:t>
      </w:r>
      <w:r w:rsidR="00D8793E" w:rsidRPr="0077640D">
        <w:t xml:space="preserve"> </w:t>
      </w:r>
      <w:r w:rsidRPr="0077640D">
        <w:t>37%</w:t>
      </w:r>
      <w:r w:rsidRPr="00C95AF5">
        <w:t xml:space="preserve"> (with </w:t>
      </w:r>
      <w:r w:rsidR="00F85BBF" w:rsidRPr="00C95AF5">
        <w:t>a cessation of future contributions</w:t>
      </w:r>
      <w:r w:rsidR="00D8793E" w:rsidRPr="00C95AF5">
        <w:t>)</w:t>
      </w:r>
      <w:r w:rsidRPr="00C95AF5">
        <w:t xml:space="preserve">, retirees will incur a </w:t>
      </w:r>
      <w:r w:rsidR="0032045C" w:rsidRPr="00C95AF5">
        <w:t xml:space="preserve">benefit </w:t>
      </w:r>
      <w:r w:rsidRPr="00C95AF5">
        <w:t xml:space="preserve">reduction of </w:t>
      </w:r>
      <w:r w:rsidRPr="0077640D">
        <w:rPr>
          <w:i/>
          <w:iCs/>
        </w:rPr>
        <w:t>at least</w:t>
      </w:r>
      <w:r w:rsidRPr="0077640D">
        <w:t xml:space="preserve"> 49%,</w:t>
      </w:r>
      <w:r w:rsidRPr="00C95AF5">
        <w:t xml:space="preserve"> and terminated vested members will have their benefits reduced </w:t>
      </w:r>
      <w:r w:rsidR="00D8793E" w:rsidRPr="00C95AF5">
        <w:t xml:space="preserve">at </w:t>
      </w:r>
      <w:r w:rsidR="00D8793E" w:rsidRPr="0077640D">
        <w:rPr>
          <w:i/>
          <w:iCs/>
        </w:rPr>
        <w:t xml:space="preserve">least </w:t>
      </w:r>
      <w:r w:rsidRPr="0077640D">
        <w:rPr>
          <w:i/>
          <w:iCs/>
        </w:rPr>
        <w:t>by</w:t>
      </w:r>
      <w:r w:rsidRPr="0077640D">
        <w:t xml:space="preserve"> 62%</w:t>
      </w:r>
      <w:r w:rsidRPr="00C95AF5">
        <w:t xml:space="preserve">.   </w:t>
      </w:r>
      <w:r w:rsidR="00D8793E" w:rsidRPr="00C95AF5">
        <w:t xml:space="preserve">That is the nature of annuity purchases – </w:t>
      </w:r>
      <w:r w:rsidR="005F4DF0" w:rsidRPr="00C95AF5">
        <w:t>they are expensive</w:t>
      </w:r>
      <w:r w:rsidR="00045DEA" w:rsidRPr="00C95AF5">
        <w:t xml:space="preserve"> because the insurance company that sells the annuities </w:t>
      </w:r>
      <w:r w:rsidR="00472231" w:rsidRPr="00C95AF5">
        <w:t xml:space="preserve">must </w:t>
      </w:r>
      <w:r w:rsidR="00045DEA" w:rsidRPr="00C95AF5">
        <w:t xml:space="preserve">ensure that the Plan’s assets will cover </w:t>
      </w:r>
      <w:r w:rsidR="00BE508F" w:rsidRPr="00C95AF5">
        <w:t>member</w:t>
      </w:r>
      <w:r w:rsidR="00045DEA" w:rsidRPr="00C95AF5">
        <w:t>s’ lifetime annuities</w:t>
      </w:r>
      <w:r w:rsidR="005F4DF0" w:rsidRPr="00C95AF5">
        <w:t xml:space="preserve">. </w:t>
      </w:r>
      <w:r w:rsidR="00C95AF5" w:rsidRPr="00C95AF5">
        <w:t>The level of benefit reductions could get worse between now and the time of annuity purchase, depending on factors such as investment returns and market interest rates.</w:t>
      </w:r>
    </w:p>
    <w:p w14:paraId="5844E515" w14:textId="68F4FCE2" w:rsidR="005F4DF0" w:rsidRPr="00C95AF5" w:rsidRDefault="005F4DF0" w:rsidP="002D368E">
      <w:pPr>
        <w:spacing w:line="276" w:lineRule="auto"/>
      </w:pPr>
      <w:r w:rsidRPr="00C95AF5">
        <w:t xml:space="preserve">Following are factors that contribute to the </w:t>
      </w:r>
      <w:r w:rsidR="00472231" w:rsidRPr="00C95AF5">
        <w:t xml:space="preserve">significant </w:t>
      </w:r>
      <w:r w:rsidRPr="00C95AF5">
        <w:t>expense of annuity purchases:</w:t>
      </w:r>
    </w:p>
    <w:tbl>
      <w:tblPr>
        <w:tblStyle w:val="TableGrid"/>
        <w:tblW w:w="0" w:type="auto"/>
        <w:tblLook w:val="04A0" w:firstRow="1" w:lastRow="0" w:firstColumn="1" w:lastColumn="0" w:noHBand="0" w:noVBand="1"/>
      </w:tblPr>
      <w:tblGrid>
        <w:gridCol w:w="3116"/>
        <w:gridCol w:w="3117"/>
        <w:gridCol w:w="3117"/>
      </w:tblGrid>
      <w:tr w:rsidR="005F4DF0" w:rsidRPr="00C95AF5" w14:paraId="3F61043F" w14:textId="77777777" w:rsidTr="0099169F">
        <w:trPr>
          <w:tblHeader/>
        </w:trPr>
        <w:tc>
          <w:tcPr>
            <w:tcW w:w="3116" w:type="dxa"/>
          </w:tcPr>
          <w:p w14:paraId="5440FB04" w14:textId="08AF6817" w:rsidR="005F4DF0" w:rsidRPr="00C95AF5" w:rsidRDefault="005F4DF0" w:rsidP="002D368E">
            <w:pPr>
              <w:spacing w:line="276" w:lineRule="auto"/>
              <w:rPr>
                <w:b/>
                <w:bCs/>
              </w:rPr>
            </w:pPr>
            <w:r w:rsidRPr="00C95AF5">
              <w:rPr>
                <w:b/>
                <w:bCs/>
              </w:rPr>
              <w:t>Cost Factor</w:t>
            </w:r>
          </w:p>
        </w:tc>
        <w:tc>
          <w:tcPr>
            <w:tcW w:w="3117" w:type="dxa"/>
          </w:tcPr>
          <w:p w14:paraId="5BEAA597" w14:textId="6B188E2A" w:rsidR="005F4DF0" w:rsidRPr="00C95AF5" w:rsidRDefault="005F4DF0" w:rsidP="002D368E">
            <w:pPr>
              <w:spacing w:line="276" w:lineRule="auto"/>
              <w:rPr>
                <w:b/>
                <w:bCs/>
              </w:rPr>
            </w:pPr>
            <w:r w:rsidRPr="00C95AF5">
              <w:rPr>
                <w:b/>
                <w:bCs/>
              </w:rPr>
              <w:t>Annuity Providers</w:t>
            </w:r>
          </w:p>
        </w:tc>
        <w:tc>
          <w:tcPr>
            <w:tcW w:w="3117" w:type="dxa"/>
          </w:tcPr>
          <w:p w14:paraId="53DF7A3B" w14:textId="75C99148" w:rsidR="005F4DF0" w:rsidRPr="00C95AF5" w:rsidRDefault="005F4DF0" w:rsidP="002D368E">
            <w:pPr>
              <w:spacing w:line="276" w:lineRule="auto"/>
              <w:rPr>
                <w:b/>
                <w:bCs/>
              </w:rPr>
            </w:pPr>
            <w:r w:rsidRPr="00C95AF5">
              <w:rPr>
                <w:b/>
                <w:bCs/>
              </w:rPr>
              <w:t>The TMRP</w:t>
            </w:r>
          </w:p>
        </w:tc>
      </w:tr>
      <w:tr w:rsidR="005F4DF0" w:rsidRPr="00C95AF5" w14:paraId="58C414A4" w14:textId="77777777" w:rsidTr="005F4DF0">
        <w:tc>
          <w:tcPr>
            <w:tcW w:w="3116" w:type="dxa"/>
          </w:tcPr>
          <w:p w14:paraId="07ECC46D" w14:textId="650B0A5F" w:rsidR="005F4DF0" w:rsidRPr="00C95AF5" w:rsidRDefault="005F4DF0" w:rsidP="002D368E">
            <w:pPr>
              <w:spacing w:line="276" w:lineRule="auto"/>
            </w:pPr>
            <w:r w:rsidRPr="00C95AF5">
              <w:t>Long-term interest rate assumption</w:t>
            </w:r>
          </w:p>
        </w:tc>
        <w:tc>
          <w:tcPr>
            <w:tcW w:w="3117" w:type="dxa"/>
          </w:tcPr>
          <w:p w14:paraId="21382D6A" w14:textId="7D629963" w:rsidR="005F4DF0" w:rsidRPr="00C95AF5" w:rsidRDefault="005F4DF0" w:rsidP="002D368E">
            <w:pPr>
              <w:spacing w:line="276" w:lineRule="auto"/>
            </w:pPr>
            <w:r w:rsidRPr="00C95AF5">
              <w:t>Very conservative (low) and based on bond market</w:t>
            </w:r>
          </w:p>
        </w:tc>
        <w:tc>
          <w:tcPr>
            <w:tcW w:w="3117" w:type="dxa"/>
          </w:tcPr>
          <w:p w14:paraId="03330E9B" w14:textId="2ECCC6C4" w:rsidR="005F4DF0" w:rsidRPr="00C95AF5" w:rsidRDefault="005F4DF0" w:rsidP="002D368E">
            <w:pPr>
              <w:spacing w:line="276" w:lineRule="auto"/>
            </w:pPr>
            <w:r w:rsidRPr="00C95AF5">
              <w:t xml:space="preserve">More optimistic and based on </w:t>
            </w:r>
            <w:r w:rsidR="00CB7439" w:rsidRPr="00C95AF5">
              <w:t xml:space="preserve">the Plan’s </w:t>
            </w:r>
            <w:r w:rsidRPr="00C95AF5">
              <w:t xml:space="preserve">balanced portfolio which, over the long-term, has earned </w:t>
            </w:r>
            <w:r w:rsidR="00C01AE8" w:rsidRPr="00C95AF5">
              <w:t xml:space="preserve">an average return of </w:t>
            </w:r>
            <w:r w:rsidR="00C01AE8" w:rsidRPr="0077640D">
              <w:t>7</w:t>
            </w:r>
            <w:r w:rsidRPr="0077640D">
              <w:t>%</w:t>
            </w:r>
            <w:r w:rsidR="00C01AE8" w:rsidRPr="0077640D">
              <w:t xml:space="preserve"> over the past 10 years.</w:t>
            </w:r>
          </w:p>
        </w:tc>
      </w:tr>
      <w:tr w:rsidR="005F4DF0" w:rsidRPr="00C95AF5" w14:paraId="3D526B20" w14:textId="77777777" w:rsidTr="005F4DF0">
        <w:tc>
          <w:tcPr>
            <w:tcW w:w="3116" w:type="dxa"/>
          </w:tcPr>
          <w:p w14:paraId="7558CA98" w14:textId="607BBD0B" w:rsidR="005F4DF0" w:rsidRPr="00C95AF5" w:rsidRDefault="005F4DF0" w:rsidP="002D368E">
            <w:pPr>
              <w:spacing w:line="276" w:lineRule="auto"/>
            </w:pPr>
            <w:r w:rsidRPr="00C95AF5">
              <w:t>Profit</w:t>
            </w:r>
          </w:p>
        </w:tc>
        <w:tc>
          <w:tcPr>
            <w:tcW w:w="3117" w:type="dxa"/>
          </w:tcPr>
          <w:p w14:paraId="6A611317" w14:textId="3F184EF3" w:rsidR="005F4DF0" w:rsidRPr="00C95AF5" w:rsidRDefault="005F4DF0" w:rsidP="002D368E">
            <w:pPr>
              <w:spacing w:line="276" w:lineRule="auto"/>
            </w:pPr>
            <w:r w:rsidRPr="00C95AF5">
              <w:t>Annuity providers are beholden to shareholders and must imbed a profit margin on the cost of annuities</w:t>
            </w:r>
          </w:p>
        </w:tc>
        <w:tc>
          <w:tcPr>
            <w:tcW w:w="3117" w:type="dxa"/>
          </w:tcPr>
          <w:p w14:paraId="29264C86" w14:textId="7C8FD35E" w:rsidR="005F4DF0" w:rsidRPr="00C95AF5" w:rsidRDefault="005F4DF0" w:rsidP="002D368E">
            <w:pPr>
              <w:spacing w:line="276" w:lineRule="auto"/>
            </w:pPr>
            <w:r w:rsidRPr="00C95AF5">
              <w:t xml:space="preserve">No profit motive.  All assets are dedicated to </w:t>
            </w:r>
            <w:r w:rsidR="00CB7439" w:rsidRPr="00C95AF5">
              <w:t xml:space="preserve">the payment of </w:t>
            </w:r>
            <w:r w:rsidRPr="00C95AF5">
              <w:t xml:space="preserve">benefits for </w:t>
            </w:r>
            <w:r w:rsidR="00BE508F" w:rsidRPr="00C95AF5">
              <w:t>member</w:t>
            </w:r>
            <w:r w:rsidRPr="00C95AF5">
              <w:t>s and beneficiaries</w:t>
            </w:r>
            <w:r w:rsidR="00045DEA" w:rsidRPr="00C95AF5">
              <w:t xml:space="preserve"> and the payment of reasonable administrative fees</w:t>
            </w:r>
            <w:r w:rsidRPr="00C95AF5">
              <w:t>.</w:t>
            </w:r>
          </w:p>
        </w:tc>
      </w:tr>
      <w:tr w:rsidR="005F4DF0" w:rsidRPr="00C95AF5" w14:paraId="185268AC" w14:textId="77777777" w:rsidTr="005F4DF0">
        <w:tc>
          <w:tcPr>
            <w:tcW w:w="3116" w:type="dxa"/>
          </w:tcPr>
          <w:p w14:paraId="1DE4782E" w14:textId="1F35526D" w:rsidR="005F4DF0" w:rsidRPr="00C95AF5" w:rsidRDefault="005F4DF0" w:rsidP="002D368E">
            <w:pPr>
              <w:spacing w:line="276" w:lineRule="auto"/>
            </w:pPr>
            <w:r w:rsidRPr="00C95AF5">
              <w:t>Risk</w:t>
            </w:r>
          </w:p>
        </w:tc>
        <w:tc>
          <w:tcPr>
            <w:tcW w:w="3117" w:type="dxa"/>
          </w:tcPr>
          <w:p w14:paraId="60E3301C" w14:textId="778F15DC" w:rsidR="005F4DF0" w:rsidRPr="00C95AF5" w:rsidRDefault="005F4DF0" w:rsidP="002D368E">
            <w:pPr>
              <w:spacing w:line="276" w:lineRule="auto"/>
            </w:pPr>
            <w:r w:rsidRPr="00C95AF5">
              <w:t xml:space="preserve">By taking on </w:t>
            </w:r>
            <w:r w:rsidR="000068A9" w:rsidRPr="00C95AF5">
              <w:t xml:space="preserve">plan </w:t>
            </w:r>
            <w:r w:rsidRPr="00C95AF5">
              <w:t>liabilities, the annuity providers are assuming the risk and must build in a significant “cushion” to hedge against poor experience.</w:t>
            </w:r>
          </w:p>
        </w:tc>
        <w:tc>
          <w:tcPr>
            <w:tcW w:w="3117" w:type="dxa"/>
          </w:tcPr>
          <w:p w14:paraId="06B9933E" w14:textId="360BA1B1" w:rsidR="005F4DF0" w:rsidRPr="00C95AF5" w:rsidRDefault="005F4DF0" w:rsidP="002D368E">
            <w:pPr>
              <w:spacing w:line="276" w:lineRule="auto"/>
            </w:pPr>
            <w:r w:rsidRPr="00C95AF5">
              <w:t xml:space="preserve">The Plan does not have to </w:t>
            </w:r>
            <w:r w:rsidR="00CB7439" w:rsidRPr="00C95AF5">
              <w:t>build in a cushion and can therefore assume risk without such a high cost.</w:t>
            </w:r>
          </w:p>
        </w:tc>
      </w:tr>
      <w:tr w:rsidR="00CB7439" w:rsidRPr="00C95AF5" w14:paraId="42B48FCB" w14:textId="77777777" w:rsidTr="005F4DF0">
        <w:tc>
          <w:tcPr>
            <w:tcW w:w="3116" w:type="dxa"/>
          </w:tcPr>
          <w:p w14:paraId="28B2268A" w14:textId="48E55CC4" w:rsidR="00CB7439" w:rsidRPr="00C95AF5" w:rsidRDefault="00CB7439" w:rsidP="002D368E">
            <w:pPr>
              <w:spacing w:line="276" w:lineRule="auto"/>
            </w:pPr>
            <w:r w:rsidRPr="00C95AF5">
              <w:lastRenderedPageBreak/>
              <w:t>Administrative Expense</w:t>
            </w:r>
          </w:p>
        </w:tc>
        <w:tc>
          <w:tcPr>
            <w:tcW w:w="3117" w:type="dxa"/>
          </w:tcPr>
          <w:p w14:paraId="557D4B68" w14:textId="76D456ED" w:rsidR="00CB7439" w:rsidRPr="00C95AF5" w:rsidRDefault="00CB7439" w:rsidP="002D368E">
            <w:pPr>
              <w:spacing w:line="276" w:lineRule="auto"/>
            </w:pPr>
            <w:r w:rsidRPr="00C95AF5">
              <w:t xml:space="preserve">The annuity provider has administrative expenses </w:t>
            </w:r>
            <w:r w:rsidRPr="00C95AF5">
              <w:rPr>
                <w:i/>
                <w:iCs/>
              </w:rPr>
              <w:t xml:space="preserve">over and above </w:t>
            </w:r>
            <w:r w:rsidRPr="00C95AF5">
              <w:t>the cost of providing the annuities such as advertising expenses and state insurance taxes.</w:t>
            </w:r>
          </w:p>
        </w:tc>
        <w:tc>
          <w:tcPr>
            <w:tcW w:w="3117" w:type="dxa"/>
          </w:tcPr>
          <w:p w14:paraId="42C2B55D" w14:textId="2AFA00BE" w:rsidR="00CB7439" w:rsidRPr="00C95AF5" w:rsidRDefault="00CB7439" w:rsidP="002D368E">
            <w:pPr>
              <w:spacing w:line="276" w:lineRule="auto"/>
            </w:pPr>
            <w:r w:rsidRPr="00C95AF5">
              <w:t>The only administrative expenses the Plan has are the cost of running the Plan and providing benefits to members.</w:t>
            </w:r>
          </w:p>
        </w:tc>
      </w:tr>
    </w:tbl>
    <w:p w14:paraId="60FECBAE" w14:textId="0036FAEC" w:rsidR="005F4DF0" w:rsidRPr="00C95AF5" w:rsidRDefault="005F4DF0" w:rsidP="002D368E">
      <w:pPr>
        <w:spacing w:line="276" w:lineRule="auto"/>
      </w:pPr>
    </w:p>
    <w:p w14:paraId="10D9ECE3" w14:textId="268351C4" w:rsidR="004C5F6E" w:rsidRPr="00C95AF5" w:rsidRDefault="00D8793E" w:rsidP="002D368E">
      <w:pPr>
        <w:spacing w:line="276" w:lineRule="auto"/>
      </w:pPr>
      <w:r w:rsidRPr="00C95AF5">
        <w:t xml:space="preserve">If we continue the TMRP, </w:t>
      </w:r>
      <w:r w:rsidR="002B454A" w:rsidRPr="00C95AF5">
        <w:t xml:space="preserve">the Plan </w:t>
      </w:r>
      <w:r w:rsidRPr="00C95AF5">
        <w:t>absorb</w:t>
      </w:r>
      <w:r w:rsidR="002B454A" w:rsidRPr="00C95AF5">
        <w:t>s</w:t>
      </w:r>
      <w:r w:rsidRPr="00C95AF5">
        <w:t xml:space="preserve"> the </w:t>
      </w:r>
      <w:r w:rsidR="00CB7439" w:rsidRPr="00C95AF5">
        <w:t xml:space="preserve">cost of providing benefits </w:t>
      </w:r>
      <w:r w:rsidRPr="00C95AF5">
        <w:t xml:space="preserve">and </w:t>
      </w:r>
      <w:r w:rsidR="002B454A" w:rsidRPr="00C95AF5">
        <w:t xml:space="preserve">we </w:t>
      </w:r>
      <w:r w:rsidRPr="00C95AF5">
        <w:t xml:space="preserve">do not have to impose such severe reductions as a result. </w:t>
      </w:r>
      <w:r w:rsidRPr="00C95AF5">
        <w:rPr>
          <w:b/>
          <w:bCs/>
        </w:rPr>
        <w:t xml:space="preserve">The proposed reductions increase our projected funding level to 100%. </w:t>
      </w:r>
      <w:r w:rsidRPr="00C95AF5">
        <w:t xml:space="preserve"> That funding level </w:t>
      </w:r>
      <w:r w:rsidR="002B454A" w:rsidRPr="00C95AF5">
        <w:t xml:space="preserve">projection </w:t>
      </w:r>
      <w:proofErr w:type="gramStart"/>
      <w:r w:rsidRPr="00C95AF5">
        <w:t>is based on the assumption</w:t>
      </w:r>
      <w:proofErr w:type="gramEnd"/>
      <w:r w:rsidRPr="00C95AF5">
        <w:t xml:space="preserve"> </w:t>
      </w:r>
      <w:r w:rsidR="002B454A" w:rsidRPr="00C95AF5">
        <w:t xml:space="preserve">that </w:t>
      </w:r>
      <w:r w:rsidRPr="00C95AF5">
        <w:t xml:space="preserve">no new </w:t>
      </w:r>
      <w:r w:rsidR="003C466D">
        <w:t>groups</w:t>
      </w:r>
      <w:r w:rsidR="003C466D" w:rsidRPr="00C95AF5">
        <w:t xml:space="preserve"> </w:t>
      </w:r>
      <w:r w:rsidR="002B454A" w:rsidRPr="00C95AF5">
        <w:t>will</w:t>
      </w:r>
      <w:r w:rsidRPr="00C95AF5">
        <w:t xml:space="preserve"> join the TMRP and </w:t>
      </w:r>
      <w:r w:rsidR="002B454A" w:rsidRPr="00C95AF5">
        <w:t>that the Plan’s asset</w:t>
      </w:r>
      <w:r w:rsidR="0099169F" w:rsidRPr="00C95AF5">
        <w:t>s</w:t>
      </w:r>
      <w:r w:rsidR="002B454A" w:rsidRPr="00C95AF5">
        <w:t xml:space="preserve"> will earn </w:t>
      </w:r>
      <w:r w:rsidRPr="00C95AF5">
        <w:t>a reasonable investment return of 7% beginning in 2024.</w:t>
      </w:r>
    </w:p>
    <w:p w14:paraId="45EC9D37" w14:textId="4E9E71D0" w:rsidR="004C5F6E" w:rsidRPr="00C95AF5" w:rsidRDefault="004C5F6E" w:rsidP="002D368E">
      <w:pPr>
        <w:spacing w:line="276" w:lineRule="auto"/>
      </w:pPr>
      <w:r w:rsidRPr="00C95AF5">
        <w:rPr>
          <w:b/>
        </w:rPr>
        <w:t>NEXT STEP</w:t>
      </w:r>
    </w:p>
    <w:p w14:paraId="6592900F" w14:textId="052F03A8" w:rsidR="004C5F6E" w:rsidRPr="00C95AF5" w:rsidRDefault="00C01AE8" w:rsidP="002D368E">
      <w:pPr>
        <w:spacing w:line="276" w:lineRule="auto"/>
      </w:pPr>
      <w:r w:rsidRPr="00C95AF5">
        <w:t xml:space="preserve">A referendum </w:t>
      </w:r>
      <w:r w:rsidR="004C5F6E" w:rsidRPr="00C95AF5">
        <w:t>must take place to approve the proposed changes:</w:t>
      </w:r>
    </w:p>
    <w:p w14:paraId="0AA7FA70" w14:textId="16E49AA8" w:rsidR="004C5F6E" w:rsidRPr="00C95AF5" w:rsidRDefault="00C01AE8" w:rsidP="002D368E">
      <w:pPr>
        <w:numPr>
          <w:ilvl w:val="0"/>
          <w:numId w:val="2"/>
        </w:numPr>
        <w:spacing w:line="276" w:lineRule="auto"/>
      </w:pPr>
      <w:r w:rsidRPr="00C95AF5">
        <w:t>T</w:t>
      </w:r>
      <w:r w:rsidR="004C5F6E" w:rsidRPr="00C95AF5">
        <w:t xml:space="preserve">wo-thirds of all voting </w:t>
      </w:r>
      <w:r w:rsidRPr="00C95AF5">
        <w:t>a</w:t>
      </w:r>
      <w:r w:rsidR="004C5F6E" w:rsidRPr="00C95AF5">
        <w:t xml:space="preserve">ctive and </w:t>
      </w:r>
      <w:r w:rsidRPr="00C95AF5">
        <w:t>r</w:t>
      </w:r>
      <w:r w:rsidR="004C5F6E" w:rsidRPr="00C95AF5">
        <w:t xml:space="preserve">etired members of the Plan must approve the changes in a referendum vote. Referendum packets including ballots will be mailed in </w:t>
      </w:r>
      <w:proofErr w:type="gramStart"/>
      <w:r w:rsidR="004C5F6E" w:rsidRPr="00C95AF5">
        <w:t>October,</w:t>
      </w:r>
      <w:proofErr w:type="gramEnd"/>
      <w:r w:rsidR="004C5F6E" w:rsidRPr="00C95AF5">
        <w:t xml:space="preserve"> 2023</w:t>
      </w:r>
      <w:r w:rsidR="00C95AF5" w:rsidRPr="00C95AF5">
        <w:t>, and</w:t>
      </w:r>
      <w:r w:rsidR="004C5F6E" w:rsidRPr="00C95AF5">
        <w:t xml:space="preserve"> ballots will be due in November, 2023.</w:t>
      </w:r>
      <w:r w:rsidR="000068A9" w:rsidRPr="00C95AF5">
        <w:t xml:space="preserve">  </w:t>
      </w:r>
    </w:p>
    <w:p w14:paraId="105AC29F" w14:textId="69BE9CDF" w:rsidR="004C5F6E" w:rsidRPr="00C95AF5" w:rsidRDefault="004C5F6E" w:rsidP="002D368E">
      <w:pPr>
        <w:keepNext/>
        <w:spacing w:line="276" w:lineRule="auto"/>
        <w:rPr>
          <w:b/>
          <w:bCs/>
        </w:rPr>
      </w:pPr>
      <w:r w:rsidRPr="00C95AF5">
        <w:rPr>
          <w:b/>
          <w:bCs/>
        </w:rPr>
        <w:t>A REALISTIC SOLUTION FOR THE FUTURE</w:t>
      </w:r>
    </w:p>
    <w:p w14:paraId="2EBA6161" w14:textId="7D5BA7B1" w:rsidR="004C5F6E" w:rsidRPr="00C95AF5" w:rsidRDefault="004C5F6E" w:rsidP="002D368E">
      <w:pPr>
        <w:keepNext/>
        <w:spacing w:line="276" w:lineRule="auto"/>
      </w:pPr>
      <w:r w:rsidRPr="00C95AF5">
        <w:t>These Plan changes are a far better solution to sustain stability for the future of the Plan, for these reasons:</w:t>
      </w:r>
    </w:p>
    <w:p w14:paraId="09473CF4" w14:textId="59C0ECAF" w:rsidR="003345CE" w:rsidRPr="00C95AF5" w:rsidRDefault="003345CE" w:rsidP="003345CE">
      <w:pPr>
        <w:pStyle w:val="ListParagraph"/>
        <w:numPr>
          <w:ilvl w:val="0"/>
          <w:numId w:val="7"/>
        </w:numPr>
      </w:pPr>
      <w:r w:rsidRPr="00C95AF5">
        <w:t>Benefit obligations are reduced to equal assumed assets meaning that more money will not</w:t>
      </w:r>
      <w:r w:rsidR="002A6D4D">
        <w:t xml:space="preserve"> be</w:t>
      </w:r>
      <w:r w:rsidRPr="00C95AF5">
        <w:t xml:space="preserve"> paid out in benefits annually than the Plan can afford.</w:t>
      </w:r>
    </w:p>
    <w:p w14:paraId="2DA7F0F0" w14:textId="7745AAEF" w:rsidR="004C5F6E" w:rsidRPr="00C95AF5" w:rsidRDefault="004C5F6E" w:rsidP="002D368E">
      <w:pPr>
        <w:pStyle w:val="ListParagraph"/>
        <w:numPr>
          <w:ilvl w:val="0"/>
          <w:numId w:val="7"/>
        </w:numPr>
        <w:spacing w:line="276" w:lineRule="auto"/>
      </w:pPr>
      <w:r w:rsidRPr="00C95AF5">
        <w:t xml:space="preserve">The changes are not based on any increased membership assumptions, although we do fully intend to </w:t>
      </w:r>
      <w:r w:rsidR="000A536F" w:rsidRPr="00C95AF5">
        <w:t xml:space="preserve">continue trying to </w:t>
      </w:r>
      <w:r w:rsidRPr="00C95AF5">
        <w:t>grow our membership base.</w:t>
      </w:r>
    </w:p>
    <w:p w14:paraId="1ED30094" w14:textId="74CF83C2" w:rsidR="004C5F6E" w:rsidRPr="0077640D" w:rsidRDefault="000068A9" w:rsidP="002D368E">
      <w:pPr>
        <w:pStyle w:val="ListParagraph"/>
        <w:numPr>
          <w:ilvl w:val="0"/>
          <w:numId w:val="7"/>
        </w:numPr>
        <w:spacing w:line="276" w:lineRule="auto"/>
      </w:pPr>
      <w:r w:rsidRPr="00C95AF5">
        <w:t>They are</w:t>
      </w:r>
      <w:r w:rsidR="004C5F6E" w:rsidRPr="00C95AF5">
        <w:t xml:space="preserve"> based on </w:t>
      </w:r>
      <w:r w:rsidR="002B454A" w:rsidRPr="00C95AF5">
        <w:t>the</w:t>
      </w:r>
      <w:r w:rsidR="004C5F6E" w:rsidRPr="00C95AF5">
        <w:t xml:space="preserve"> </w:t>
      </w:r>
      <w:r w:rsidR="002B454A" w:rsidRPr="00C95AF5">
        <w:t>reasonable</w:t>
      </w:r>
      <w:r w:rsidR="004C5F6E" w:rsidRPr="00C95AF5">
        <w:t xml:space="preserve"> annual investment return assumption</w:t>
      </w:r>
      <w:r w:rsidR="002B454A" w:rsidRPr="00C95AF5">
        <w:t xml:space="preserve"> of </w:t>
      </w:r>
      <w:r w:rsidR="004C5F6E" w:rsidRPr="0077640D">
        <w:t>7%</w:t>
      </w:r>
      <w:r w:rsidR="002B454A" w:rsidRPr="0077640D">
        <w:t>.</w:t>
      </w:r>
      <w:r w:rsidR="004C5F6E" w:rsidRPr="0077640D">
        <w:t xml:space="preserve"> </w:t>
      </w:r>
      <w:r w:rsidR="004403FC" w:rsidRPr="0077640D">
        <w:t xml:space="preserve">Over the past </w:t>
      </w:r>
      <w:r w:rsidR="00F57886" w:rsidRPr="0077640D">
        <w:t>10</w:t>
      </w:r>
      <w:r w:rsidR="004403FC" w:rsidRPr="0077640D">
        <w:t xml:space="preserve"> years, the average annual investment return has been </w:t>
      </w:r>
      <w:r w:rsidR="00F57886" w:rsidRPr="0077640D">
        <w:t>7</w:t>
      </w:r>
      <w:r w:rsidR="004403FC" w:rsidRPr="0077640D">
        <w:t>%.</w:t>
      </w:r>
    </w:p>
    <w:p w14:paraId="0E92DFEE" w14:textId="5347921D" w:rsidR="00045DEA" w:rsidRPr="00C95AF5" w:rsidRDefault="00045DEA" w:rsidP="002D368E">
      <w:pPr>
        <w:pStyle w:val="ListParagraph"/>
        <w:numPr>
          <w:ilvl w:val="0"/>
          <w:numId w:val="7"/>
        </w:numPr>
        <w:spacing w:line="276" w:lineRule="auto"/>
      </w:pPr>
      <w:r w:rsidRPr="00C95AF5">
        <w:t xml:space="preserve">Every Plan member will continue to receive </w:t>
      </w:r>
      <w:proofErr w:type="gramStart"/>
      <w:r w:rsidRPr="00C95AF5">
        <w:t>all of</w:t>
      </w:r>
      <w:proofErr w:type="gramEnd"/>
      <w:r w:rsidRPr="00C95AF5">
        <w:t xml:space="preserve"> his or her contributions back</w:t>
      </w:r>
      <w:r w:rsidR="00472231" w:rsidRPr="00C95AF5">
        <w:t xml:space="preserve">. This will take the form of </w:t>
      </w:r>
      <w:r w:rsidRPr="00C95AF5">
        <w:t>a lifetime pension benefit for the member and his or her spouse</w:t>
      </w:r>
      <w:r w:rsidR="00472231" w:rsidRPr="00C95AF5">
        <w:t xml:space="preserve"> (or a Death Benefit if a member should die while active) and amounts received will exceed contributions </w:t>
      </w:r>
      <w:r w:rsidR="00FB259C" w:rsidRPr="00C95AF5">
        <w:t>paid into the Plan after a reasonable amount of time</w:t>
      </w:r>
      <w:r w:rsidR="00472231" w:rsidRPr="00C95AF5">
        <w:t xml:space="preserve"> in retirement</w:t>
      </w:r>
      <w:r w:rsidR="00FB259C" w:rsidRPr="00C95AF5">
        <w:t>.</w:t>
      </w:r>
    </w:p>
    <w:p w14:paraId="1FC9FBFE" w14:textId="65DC7CA7" w:rsidR="004C5F6E" w:rsidRPr="00C95AF5" w:rsidRDefault="004403FC" w:rsidP="002D368E">
      <w:pPr>
        <w:spacing w:line="276" w:lineRule="auto"/>
      </w:pPr>
      <w:r w:rsidRPr="00C95AF5">
        <w:t xml:space="preserve">The benefit adjustments described above </w:t>
      </w:r>
      <w:r w:rsidR="000A536F" w:rsidRPr="00C95AF5">
        <w:t xml:space="preserve">bring the Plan’s funding level up to </w:t>
      </w:r>
      <w:r w:rsidR="000A536F" w:rsidRPr="00C95AF5">
        <w:rPr>
          <w:b/>
          <w:bCs/>
        </w:rPr>
        <w:t>100%</w:t>
      </w:r>
      <w:r w:rsidR="000A536F" w:rsidRPr="00C95AF5">
        <w:t xml:space="preserve"> (all benefits are fully funded) which ensures the continuation of the Plan into the future.</w:t>
      </w:r>
      <w:r w:rsidRPr="00C95AF5">
        <w:t xml:space="preserve"> </w:t>
      </w:r>
    </w:p>
    <w:p w14:paraId="5C2C3F9B" w14:textId="77777777" w:rsidR="004C5F6E" w:rsidRPr="00C95AF5" w:rsidRDefault="004C5F6E" w:rsidP="002D368E">
      <w:pPr>
        <w:spacing w:line="276" w:lineRule="auto"/>
      </w:pPr>
      <w:r w:rsidRPr="00C95AF5">
        <w:t>If the changes are approved, they will be effective January 1, 2024.</w:t>
      </w:r>
    </w:p>
    <w:p w14:paraId="21C24894" w14:textId="05BB6143" w:rsidR="000068A9" w:rsidRPr="00C95AF5" w:rsidRDefault="000068A9" w:rsidP="000068A9">
      <w:pPr>
        <w:spacing w:line="276" w:lineRule="auto"/>
        <w:jc w:val="center"/>
      </w:pPr>
      <w:r w:rsidRPr="00C95AF5">
        <w:t>***</w:t>
      </w:r>
    </w:p>
    <w:p w14:paraId="4354B7F0" w14:textId="77777777" w:rsidR="004C5F6E" w:rsidRPr="00C95AF5" w:rsidRDefault="004C5F6E" w:rsidP="002D368E">
      <w:pPr>
        <w:spacing w:line="276" w:lineRule="auto"/>
      </w:pPr>
      <w:r w:rsidRPr="00C95AF5">
        <w:lastRenderedPageBreak/>
        <w:t xml:space="preserve">We will offer </w:t>
      </w:r>
      <w:proofErr w:type="gramStart"/>
      <w:r w:rsidRPr="00C95AF5">
        <w:t>a number of</w:t>
      </w:r>
      <w:proofErr w:type="gramEnd"/>
      <w:r w:rsidRPr="00C95AF5">
        <w:t xml:space="preserve"> communications and events in the coming months where you can get additional details, including:</w:t>
      </w:r>
    </w:p>
    <w:p w14:paraId="585B0D6B" w14:textId="4DC9A430" w:rsidR="004C5F6E" w:rsidRPr="00C95AF5" w:rsidRDefault="004C5F6E" w:rsidP="002D368E">
      <w:pPr>
        <w:numPr>
          <w:ilvl w:val="0"/>
          <w:numId w:val="3"/>
        </w:numPr>
        <w:spacing w:line="276" w:lineRule="auto"/>
      </w:pPr>
      <w:r w:rsidRPr="00C95AF5">
        <w:t>Mailings with additional information and reminders.</w:t>
      </w:r>
    </w:p>
    <w:p w14:paraId="14DC72FD" w14:textId="77777777" w:rsidR="004C5F6E" w:rsidRPr="00C95AF5" w:rsidRDefault="004C5F6E" w:rsidP="002D368E">
      <w:pPr>
        <w:numPr>
          <w:ilvl w:val="0"/>
          <w:numId w:val="3"/>
        </w:numPr>
        <w:spacing w:line="276" w:lineRule="auto"/>
      </w:pPr>
      <w:r w:rsidRPr="00C95AF5">
        <w:t xml:space="preserve">Regional meetings where you can hear about the changes first-hand and get answers to your questions. </w:t>
      </w:r>
    </w:p>
    <w:p w14:paraId="041B98A2" w14:textId="1491331B" w:rsidR="00F57886" w:rsidRPr="00C95AF5" w:rsidRDefault="00F57886" w:rsidP="002D368E">
      <w:pPr>
        <w:numPr>
          <w:ilvl w:val="0"/>
          <w:numId w:val="3"/>
        </w:numPr>
        <w:spacing w:line="276" w:lineRule="auto"/>
      </w:pPr>
      <w:r w:rsidRPr="00C95AF5">
        <w:t>You can always call your Local Union, District Council</w:t>
      </w:r>
      <w:r w:rsidR="000226E3">
        <w:t>,</w:t>
      </w:r>
      <w:r w:rsidRPr="00C95AF5">
        <w:t xml:space="preserve"> or the Plan Office with your questions.</w:t>
      </w:r>
    </w:p>
    <w:p w14:paraId="2F962C6E" w14:textId="77777777" w:rsidR="004C5F6E" w:rsidRPr="00C95AF5" w:rsidRDefault="004C5F6E" w:rsidP="002D368E">
      <w:pPr>
        <w:spacing w:line="276" w:lineRule="auto"/>
      </w:pPr>
      <w:r w:rsidRPr="00C95AF5">
        <w:t>Be sure to watch your mail for information on the timing of these communications and events.</w:t>
      </w:r>
    </w:p>
    <w:p w14:paraId="5DDEC244" w14:textId="162E9172" w:rsidR="004C5F6E" w:rsidRPr="00C95AF5" w:rsidRDefault="004C5F6E" w:rsidP="002D368E">
      <w:pPr>
        <w:spacing w:line="276" w:lineRule="auto"/>
      </w:pPr>
      <w:r w:rsidRPr="00C95AF5">
        <w:t>We hope we can count on you for your support of this critical action to save our Plan and continue paying pension and other benefits to our members.</w:t>
      </w:r>
    </w:p>
    <w:p w14:paraId="6157FBFA" w14:textId="77777777" w:rsidR="00215E8E" w:rsidRPr="00C95AF5" w:rsidRDefault="00215E8E" w:rsidP="002D368E">
      <w:pPr>
        <w:spacing w:line="276" w:lineRule="auto"/>
      </w:pPr>
    </w:p>
    <w:p w14:paraId="6D3B3853" w14:textId="1C396803" w:rsidR="004C5F6E" w:rsidRPr="00C95AF5" w:rsidRDefault="004C5F6E" w:rsidP="002D368E">
      <w:pPr>
        <w:spacing w:line="276" w:lineRule="auto"/>
      </w:pPr>
      <w:r w:rsidRPr="00C95AF5">
        <w:t>Sincerely,</w:t>
      </w:r>
    </w:p>
    <w:p w14:paraId="13ECC1D7" w14:textId="4F6B0197" w:rsidR="004C5F6E" w:rsidRPr="004C5F6E" w:rsidRDefault="004C5F6E" w:rsidP="002D368E">
      <w:pPr>
        <w:spacing w:line="276" w:lineRule="auto"/>
      </w:pPr>
      <w:r w:rsidRPr="00C95AF5">
        <w:rPr>
          <w:i/>
        </w:rPr>
        <w:t>The Board of Trustees</w:t>
      </w:r>
      <w:r w:rsidRPr="004C5F6E">
        <w:rPr>
          <w:i/>
        </w:rPr>
        <w:t xml:space="preserve"> </w:t>
      </w:r>
    </w:p>
    <w:sectPr w:rsidR="004C5F6E" w:rsidRPr="004C5F6E" w:rsidSect="00215E8E">
      <w:headerReference w:type="even" r:id="rId8"/>
      <w:headerReference w:type="default" r:id="rId9"/>
      <w:footerReference w:type="even" r:id="rId10"/>
      <w:footerReference w:type="default" r:id="rId11"/>
      <w:headerReference w:type="first" r:id="rId12"/>
      <w:footerReference w:type="first" r:id="rId13"/>
      <w:pgSz w:w="12460" w:h="16020"/>
      <w:pgMar w:top="1440" w:right="1440" w:bottom="1440" w:left="1440" w:header="0" w:footer="63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1704" w14:textId="77777777" w:rsidR="00D65987" w:rsidRDefault="00D65987" w:rsidP="005226F9">
      <w:pPr>
        <w:spacing w:after="0" w:line="240" w:lineRule="auto"/>
      </w:pPr>
      <w:r>
        <w:separator/>
      </w:r>
    </w:p>
  </w:endnote>
  <w:endnote w:type="continuationSeparator" w:id="0">
    <w:p w14:paraId="369475FD" w14:textId="77777777" w:rsidR="00D65987" w:rsidRDefault="00D65987" w:rsidP="0052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3E09" w14:textId="77777777" w:rsidR="00C31947" w:rsidRDefault="00C31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0BFB" w14:textId="11C9091C" w:rsidR="005226F9" w:rsidRDefault="005226F9" w:rsidP="005226F9">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p w14:paraId="2C6DD7CD" w14:textId="77777777" w:rsidR="005226F9" w:rsidRDefault="00522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D228" w14:textId="77777777" w:rsidR="00C31947" w:rsidRDefault="00C3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42F2" w14:textId="77777777" w:rsidR="00D65987" w:rsidRDefault="00D65987" w:rsidP="005226F9">
      <w:pPr>
        <w:spacing w:after="0" w:line="240" w:lineRule="auto"/>
      </w:pPr>
      <w:r>
        <w:separator/>
      </w:r>
    </w:p>
  </w:footnote>
  <w:footnote w:type="continuationSeparator" w:id="0">
    <w:p w14:paraId="2A9D30A4" w14:textId="77777777" w:rsidR="00D65987" w:rsidRDefault="00D65987" w:rsidP="005226F9">
      <w:pPr>
        <w:spacing w:after="0" w:line="240" w:lineRule="auto"/>
      </w:pPr>
      <w:r>
        <w:continuationSeparator/>
      </w:r>
    </w:p>
  </w:footnote>
  <w:footnote w:id="1">
    <w:p w14:paraId="54CE6C94" w14:textId="47D1C1EE" w:rsidR="00E00AAF" w:rsidRDefault="00E00AAF" w:rsidP="00E00AAF">
      <w:pPr>
        <w:pStyle w:val="FootnoteText"/>
      </w:pPr>
      <w:r>
        <w:rPr>
          <w:rStyle w:val="FootnoteReference"/>
        </w:rPr>
        <w:footnoteRef/>
      </w:r>
      <w:r>
        <w:t xml:space="preserve"> </w:t>
      </w:r>
      <w:r>
        <w:tab/>
      </w:r>
      <w:r w:rsidRPr="0085625A">
        <w:t xml:space="preserve">There needs to be a </w:t>
      </w:r>
      <w:r w:rsidR="004D432E" w:rsidRPr="0085625A">
        <w:t>smaller</w:t>
      </w:r>
      <w:r w:rsidRPr="0085625A">
        <w:t xml:space="preserve"> benefit cut for active </w:t>
      </w:r>
      <w:r w:rsidR="00BE508F" w:rsidRPr="0085625A">
        <w:t>member</w:t>
      </w:r>
      <w:r w:rsidRPr="0085625A">
        <w:t xml:space="preserve">s in order to </w:t>
      </w:r>
      <w:r w:rsidR="00585AF4" w:rsidRPr="0085625A">
        <w:t xml:space="preserve">encourage continued </w:t>
      </w:r>
      <w:r w:rsidRPr="0085625A">
        <w:t xml:space="preserve">contributions to the Plan which will help the Plan pay lifetime pension benefits to all </w:t>
      </w:r>
      <w:r w:rsidR="00C76AC7" w:rsidRPr="0085625A">
        <w:t xml:space="preserve">current and future </w:t>
      </w:r>
      <w:r w:rsidR="0085625A">
        <w:t>retiree</w:t>
      </w:r>
      <w:r w:rsidRPr="0085625A">
        <w:t>s and spouses.</w:t>
      </w:r>
      <w:r w:rsidR="007D546B">
        <w:t xml:space="preserve"> </w:t>
      </w:r>
    </w:p>
  </w:footnote>
  <w:footnote w:id="2">
    <w:p w14:paraId="47C13E4A" w14:textId="4842B9CA" w:rsidR="00D65FDD" w:rsidRDefault="00D65FDD">
      <w:pPr>
        <w:pStyle w:val="FootnoteText"/>
      </w:pPr>
      <w:r>
        <w:rPr>
          <w:rStyle w:val="FootnoteReference"/>
        </w:rPr>
        <w:footnoteRef/>
      </w:r>
      <w:r>
        <w:t xml:space="preserve"> </w:t>
      </w:r>
      <w:r>
        <w:tab/>
        <w:t xml:space="preserve">Terminated vested members will have a slightly larger benefit cut because these </w:t>
      </w:r>
      <w:r w:rsidR="00BE508F">
        <w:t>member</w:t>
      </w:r>
      <w:r>
        <w:t>s</w:t>
      </w:r>
      <w:r w:rsidR="00FE3D3A">
        <w:t>,</w:t>
      </w:r>
      <w:r w:rsidR="002837D9">
        <w:t xml:space="preserve"> who are no longer contributing,</w:t>
      </w:r>
      <w:r>
        <w:t xml:space="preserve"> have not yet retired and can increase their retirement income through other means.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4533" w14:textId="77777777" w:rsidR="00C31947" w:rsidRDefault="00C31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0011" w14:textId="77777777" w:rsidR="00C31947" w:rsidRDefault="00C31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20C" w14:textId="77777777" w:rsidR="00C31947" w:rsidRDefault="00C31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AC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11783"/>
    <w:multiLevelType w:val="hybridMultilevel"/>
    <w:tmpl w:val="549689FE"/>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1B5E0D39"/>
    <w:multiLevelType w:val="hybridMultilevel"/>
    <w:tmpl w:val="E9A2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6208"/>
    <w:multiLevelType w:val="hybridMultilevel"/>
    <w:tmpl w:val="43D8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D1A73"/>
    <w:multiLevelType w:val="hybridMultilevel"/>
    <w:tmpl w:val="E59A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00FF2"/>
    <w:multiLevelType w:val="hybridMultilevel"/>
    <w:tmpl w:val="6CE6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E37DD"/>
    <w:multiLevelType w:val="hybridMultilevel"/>
    <w:tmpl w:val="0AE2D9E2"/>
    <w:lvl w:ilvl="0" w:tplc="96D273B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D0473"/>
    <w:multiLevelType w:val="hybridMultilevel"/>
    <w:tmpl w:val="D06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E6B43"/>
    <w:multiLevelType w:val="hybridMultilevel"/>
    <w:tmpl w:val="90C09C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06ACD"/>
    <w:multiLevelType w:val="hybridMultilevel"/>
    <w:tmpl w:val="90C09CE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F631CC"/>
    <w:multiLevelType w:val="hybridMultilevel"/>
    <w:tmpl w:val="188A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D5AF2"/>
    <w:multiLevelType w:val="hybridMultilevel"/>
    <w:tmpl w:val="714A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1494D"/>
    <w:multiLevelType w:val="hybridMultilevel"/>
    <w:tmpl w:val="B78E5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438109">
    <w:abstractNumId w:val="4"/>
  </w:num>
  <w:num w:numId="2" w16cid:durableId="768887172">
    <w:abstractNumId w:val="11"/>
  </w:num>
  <w:num w:numId="3" w16cid:durableId="119154152">
    <w:abstractNumId w:val="7"/>
  </w:num>
  <w:num w:numId="4" w16cid:durableId="1962177488">
    <w:abstractNumId w:val="5"/>
  </w:num>
  <w:num w:numId="5" w16cid:durableId="223873692">
    <w:abstractNumId w:val="3"/>
  </w:num>
  <w:num w:numId="6" w16cid:durableId="186219732">
    <w:abstractNumId w:val="2"/>
  </w:num>
  <w:num w:numId="7" w16cid:durableId="2116557263">
    <w:abstractNumId w:val="6"/>
  </w:num>
  <w:num w:numId="8" w16cid:durableId="1929339897">
    <w:abstractNumId w:val="1"/>
  </w:num>
  <w:num w:numId="9" w16cid:durableId="421881170">
    <w:abstractNumId w:val="8"/>
  </w:num>
  <w:num w:numId="10" w16cid:durableId="1160776087">
    <w:abstractNumId w:val="12"/>
  </w:num>
  <w:num w:numId="11" w16cid:durableId="394547340">
    <w:abstractNumId w:val="9"/>
  </w:num>
  <w:num w:numId="12" w16cid:durableId="1419598172">
    <w:abstractNumId w:val="10"/>
  </w:num>
  <w:num w:numId="13" w16cid:durableId="87079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6E"/>
    <w:rsid w:val="000068A9"/>
    <w:rsid w:val="00017AFE"/>
    <w:rsid w:val="000226E3"/>
    <w:rsid w:val="00045DEA"/>
    <w:rsid w:val="000A536F"/>
    <w:rsid w:val="000B7E13"/>
    <w:rsid w:val="000C29E2"/>
    <w:rsid w:val="00192FE8"/>
    <w:rsid w:val="001D54F5"/>
    <w:rsid w:val="001F2100"/>
    <w:rsid w:val="00215E8E"/>
    <w:rsid w:val="002837D9"/>
    <w:rsid w:val="002853C7"/>
    <w:rsid w:val="0029616B"/>
    <w:rsid w:val="002A6D4D"/>
    <w:rsid w:val="002B454A"/>
    <w:rsid w:val="002C4502"/>
    <w:rsid w:val="002D368E"/>
    <w:rsid w:val="002E4B30"/>
    <w:rsid w:val="002F5029"/>
    <w:rsid w:val="00300FD2"/>
    <w:rsid w:val="0032045C"/>
    <w:rsid w:val="003345CE"/>
    <w:rsid w:val="00351669"/>
    <w:rsid w:val="003808FA"/>
    <w:rsid w:val="003C1FB5"/>
    <w:rsid w:val="003C466D"/>
    <w:rsid w:val="003E0C2F"/>
    <w:rsid w:val="003F1DBD"/>
    <w:rsid w:val="003F479D"/>
    <w:rsid w:val="00400DFD"/>
    <w:rsid w:val="00430564"/>
    <w:rsid w:val="004403FC"/>
    <w:rsid w:val="004505B8"/>
    <w:rsid w:val="004606C0"/>
    <w:rsid w:val="00472231"/>
    <w:rsid w:val="004C3DB0"/>
    <w:rsid w:val="004C5F6E"/>
    <w:rsid w:val="004D432E"/>
    <w:rsid w:val="004E2419"/>
    <w:rsid w:val="004E50CA"/>
    <w:rsid w:val="004F3D6F"/>
    <w:rsid w:val="00512C26"/>
    <w:rsid w:val="005226F9"/>
    <w:rsid w:val="005304ED"/>
    <w:rsid w:val="005379A9"/>
    <w:rsid w:val="00585AF4"/>
    <w:rsid w:val="005B13BA"/>
    <w:rsid w:val="005C022E"/>
    <w:rsid w:val="005C5D10"/>
    <w:rsid w:val="005D4F09"/>
    <w:rsid w:val="005F4DF0"/>
    <w:rsid w:val="005F6587"/>
    <w:rsid w:val="005F72D7"/>
    <w:rsid w:val="00626C12"/>
    <w:rsid w:val="006301A1"/>
    <w:rsid w:val="00692E02"/>
    <w:rsid w:val="006A76CF"/>
    <w:rsid w:val="006B2C15"/>
    <w:rsid w:val="006B425A"/>
    <w:rsid w:val="006C1ED7"/>
    <w:rsid w:val="0077640D"/>
    <w:rsid w:val="007771D1"/>
    <w:rsid w:val="00796509"/>
    <w:rsid w:val="007A66DB"/>
    <w:rsid w:val="007C5586"/>
    <w:rsid w:val="007D546B"/>
    <w:rsid w:val="00812F6E"/>
    <w:rsid w:val="00814577"/>
    <w:rsid w:val="00822949"/>
    <w:rsid w:val="008309A0"/>
    <w:rsid w:val="00834742"/>
    <w:rsid w:val="0085625A"/>
    <w:rsid w:val="008B63A6"/>
    <w:rsid w:val="008F35C5"/>
    <w:rsid w:val="008F3899"/>
    <w:rsid w:val="0090344A"/>
    <w:rsid w:val="00914FFD"/>
    <w:rsid w:val="00927EF9"/>
    <w:rsid w:val="00967898"/>
    <w:rsid w:val="0097660D"/>
    <w:rsid w:val="0099169F"/>
    <w:rsid w:val="009A3F9D"/>
    <w:rsid w:val="009B132B"/>
    <w:rsid w:val="009E5EFC"/>
    <w:rsid w:val="00A05769"/>
    <w:rsid w:val="00A41905"/>
    <w:rsid w:val="00AA186D"/>
    <w:rsid w:val="00AB086F"/>
    <w:rsid w:val="00AE4290"/>
    <w:rsid w:val="00AE6246"/>
    <w:rsid w:val="00B47A2A"/>
    <w:rsid w:val="00B65DCA"/>
    <w:rsid w:val="00B87509"/>
    <w:rsid w:val="00B96212"/>
    <w:rsid w:val="00BA0547"/>
    <w:rsid w:val="00BD42BA"/>
    <w:rsid w:val="00BE508F"/>
    <w:rsid w:val="00BE6D9F"/>
    <w:rsid w:val="00C00847"/>
    <w:rsid w:val="00C01AE8"/>
    <w:rsid w:val="00C31947"/>
    <w:rsid w:val="00C76AC7"/>
    <w:rsid w:val="00C95AF5"/>
    <w:rsid w:val="00CB7439"/>
    <w:rsid w:val="00CE3E4D"/>
    <w:rsid w:val="00D13608"/>
    <w:rsid w:val="00D471F3"/>
    <w:rsid w:val="00D65987"/>
    <w:rsid w:val="00D65FDD"/>
    <w:rsid w:val="00D8793E"/>
    <w:rsid w:val="00DC1D4B"/>
    <w:rsid w:val="00DE724C"/>
    <w:rsid w:val="00DF7350"/>
    <w:rsid w:val="00E00AAF"/>
    <w:rsid w:val="00E1118C"/>
    <w:rsid w:val="00E21E20"/>
    <w:rsid w:val="00E33AE6"/>
    <w:rsid w:val="00E92862"/>
    <w:rsid w:val="00EC26B3"/>
    <w:rsid w:val="00ED5E17"/>
    <w:rsid w:val="00ED69FF"/>
    <w:rsid w:val="00F57886"/>
    <w:rsid w:val="00F6124E"/>
    <w:rsid w:val="00F71403"/>
    <w:rsid w:val="00F85BBF"/>
    <w:rsid w:val="00F962D7"/>
    <w:rsid w:val="00FB259C"/>
    <w:rsid w:val="00FE3D3A"/>
    <w:rsid w:val="00FF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5001"/>
  <w15:chartTrackingRefBased/>
  <w15:docId w15:val="{536470A5-5FB8-422C-8133-9BFB4354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03"/>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ED"/>
    <w:pPr>
      <w:ind w:left="720"/>
      <w:contextualSpacing/>
    </w:pPr>
  </w:style>
  <w:style w:type="character" w:styleId="CommentReference">
    <w:name w:val="annotation reference"/>
    <w:basedOn w:val="DefaultParagraphFont"/>
    <w:uiPriority w:val="99"/>
    <w:semiHidden/>
    <w:unhideWhenUsed/>
    <w:rsid w:val="009E5EFC"/>
    <w:rPr>
      <w:sz w:val="16"/>
      <w:szCs w:val="16"/>
    </w:rPr>
  </w:style>
  <w:style w:type="paragraph" w:styleId="CommentText">
    <w:name w:val="annotation text"/>
    <w:basedOn w:val="Normal"/>
    <w:link w:val="CommentTextChar"/>
    <w:uiPriority w:val="99"/>
    <w:unhideWhenUsed/>
    <w:rsid w:val="009E5EFC"/>
    <w:pPr>
      <w:spacing w:line="240" w:lineRule="auto"/>
    </w:pPr>
    <w:rPr>
      <w:sz w:val="20"/>
      <w:szCs w:val="20"/>
    </w:rPr>
  </w:style>
  <w:style w:type="character" w:customStyle="1" w:styleId="CommentTextChar">
    <w:name w:val="Comment Text Char"/>
    <w:basedOn w:val="DefaultParagraphFont"/>
    <w:link w:val="CommentText"/>
    <w:uiPriority w:val="99"/>
    <w:rsid w:val="009E5EFC"/>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E5EFC"/>
    <w:rPr>
      <w:b/>
      <w:bCs/>
    </w:rPr>
  </w:style>
  <w:style w:type="character" w:customStyle="1" w:styleId="CommentSubjectChar">
    <w:name w:val="Comment Subject Char"/>
    <w:basedOn w:val="CommentTextChar"/>
    <w:link w:val="CommentSubject"/>
    <w:uiPriority w:val="99"/>
    <w:semiHidden/>
    <w:rsid w:val="009E5EFC"/>
    <w:rPr>
      <w:rFonts w:ascii="Times New Roman" w:hAnsi="Times New Roman"/>
      <w:b/>
      <w:bCs/>
      <w:kern w:val="0"/>
      <w:sz w:val="20"/>
      <w:szCs w:val="20"/>
      <w14:ligatures w14:val="none"/>
    </w:rPr>
  </w:style>
  <w:style w:type="table" w:styleId="TableGrid">
    <w:name w:val="Table Grid"/>
    <w:basedOn w:val="TableNormal"/>
    <w:uiPriority w:val="39"/>
    <w:rsid w:val="005F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6F9"/>
    <w:rPr>
      <w:rFonts w:ascii="Times New Roman" w:hAnsi="Times New Roman"/>
      <w:kern w:val="0"/>
      <w:sz w:val="24"/>
      <w14:ligatures w14:val="none"/>
    </w:rPr>
  </w:style>
  <w:style w:type="paragraph" w:styleId="Footer">
    <w:name w:val="footer"/>
    <w:basedOn w:val="Normal"/>
    <w:link w:val="FooterChar"/>
    <w:uiPriority w:val="99"/>
    <w:unhideWhenUsed/>
    <w:rsid w:val="0052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6F9"/>
    <w:rPr>
      <w:rFonts w:ascii="Times New Roman" w:hAnsi="Times New Roman"/>
      <w:kern w:val="0"/>
      <w:sz w:val="24"/>
      <w14:ligatures w14:val="none"/>
    </w:rPr>
  </w:style>
  <w:style w:type="paragraph" w:customStyle="1" w:styleId="Default">
    <w:name w:val="Default"/>
    <w:rsid w:val="002D368E"/>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DC1D4B"/>
    <w:rPr>
      <w:color w:val="0563C1" w:themeColor="hyperlink"/>
      <w:u w:val="single"/>
    </w:rPr>
  </w:style>
  <w:style w:type="character" w:styleId="UnresolvedMention">
    <w:name w:val="Unresolved Mention"/>
    <w:basedOn w:val="DefaultParagraphFont"/>
    <w:uiPriority w:val="99"/>
    <w:semiHidden/>
    <w:unhideWhenUsed/>
    <w:rsid w:val="00DC1D4B"/>
    <w:rPr>
      <w:color w:val="605E5C"/>
      <w:shd w:val="clear" w:color="auto" w:fill="E1DFDD"/>
    </w:rPr>
  </w:style>
  <w:style w:type="paragraph" w:styleId="Revision">
    <w:name w:val="Revision"/>
    <w:hidden/>
    <w:uiPriority w:val="99"/>
    <w:semiHidden/>
    <w:rsid w:val="00914FFD"/>
    <w:pPr>
      <w:spacing w:after="0" w:line="240" w:lineRule="auto"/>
    </w:pPr>
    <w:rPr>
      <w:rFonts w:ascii="Times New Roman" w:hAnsi="Times New Roman"/>
      <w:kern w:val="0"/>
      <w:sz w:val="24"/>
      <w14:ligatures w14:val="none"/>
    </w:rPr>
  </w:style>
  <w:style w:type="paragraph" w:styleId="FootnoteText">
    <w:name w:val="footnote text"/>
    <w:basedOn w:val="Normal"/>
    <w:link w:val="FootnoteTextChar"/>
    <w:uiPriority w:val="99"/>
    <w:semiHidden/>
    <w:unhideWhenUsed/>
    <w:rsid w:val="00E00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AAF"/>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E00AAF"/>
    <w:rPr>
      <w:vertAlign w:val="superscript"/>
    </w:rPr>
  </w:style>
  <w:style w:type="paragraph" w:styleId="ListBullet">
    <w:name w:val="List Bullet"/>
    <w:basedOn w:val="Normal"/>
    <w:uiPriority w:val="99"/>
    <w:unhideWhenUsed/>
    <w:rsid w:val="00EC26B3"/>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1B4E-E953-4A5E-9B10-F6CE8FB0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Rice</dc:creator>
  <cp:keywords/>
  <dc:description/>
  <cp:lastModifiedBy>Maggie Peck</cp:lastModifiedBy>
  <cp:revision>3</cp:revision>
  <cp:lastPrinted>2023-06-05T20:16:00Z</cp:lastPrinted>
  <dcterms:created xsi:type="dcterms:W3CDTF">2023-06-08T14:26:00Z</dcterms:created>
  <dcterms:modified xsi:type="dcterms:W3CDTF">2023-06-08T14:35:00Z</dcterms:modified>
</cp:coreProperties>
</file>